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9F434">
      <w:pPr>
        <w:rPr>
          <w:rFonts w:ascii="Times New Roman" w:hAnsi="Times New Roman" w:cs="Times New Roman"/>
        </w:rPr>
      </w:pPr>
    </w:p>
    <w:p w14:paraId="4DD3D298">
      <w:pPr>
        <w:jc w:val="center"/>
        <w:rPr>
          <w:rFonts w:ascii="Times New Roman" w:hAnsi="Times New Roman" w:cs="Times New Roman"/>
          <w:b/>
          <w:bCs/>
          <w:sz w:val="36"/>
          <w:szCs w:val="40"/>
        </w:rPr>
      </w:pPr>
    </w:p>
    <w:p w14:paraId="283A197E">
      <w:pPr>
        <w:spacing w:line="360" w:lineRule="auto"/>
        <w:jc w:val="center"/>
        <w:rPr>
          <w:rFonts w:ascii="Times New Roman" w:hAnsi="Times New Roman" w:eastAsia="黑体" w:cs="Times New Roman"/>
          <w:b/>
          <w:bCs/>
          <w:spacing w:val="32"/>
          <w:sz w:val="36"/>
          <w:szCs w:val="200"/>
        </w:rPr>
      </w:pPr>
      <w:r>
        <w:rPr>
          <w:rFonts w:ascii="Times New Roman" w:hAnsi="Times New Roman" w:cs="Times New Roman"/>
          <w:b/>
          <w:bCs/>
          <w:sz w:val="36"/>
          <w:szCs w:val="40"/>
        </w:rPr>
        <w:t>Electrical &amp; Mechanical International Tender</w:t>
      </w:r>
    </w:p>
    <w:p w14:paraId="43ECE5DF">
      <w:pPr>
        <w:spacing w:line="360" w:lineRule="auto"/>
        <w:jc w:val="center"/>
        <w:rPr>
          <w:rFonts w:ascii="Times New Roman" w:hAnsi="Times New Roman" w:eastAsia="宋体" w:cs="Times New Roman"/>
          <w:b/>
          <w:bCs/>
          <w:spacing w:val="32"/>
          <w:sz w:val="36"/>
          <w:szCs w:val="200"/>
        </w:rPr>
      </w:pPr>
      <w:r>
        <w:rPr>
          <w:rFonts w:ascii="Times New Roman" w:hAnsi="Times New Roman" w:cs="Times New Roman"/>
          <w:b/>
          <w:bCs/>
          <w:sz w:val="36"/>
          <w:szCs w:val="40"/>
        </w:rPr>
        <w:t>Standard Tender Document</w:t>
      </w:r>
    </w:p>
    <w:p w14:paraId="1BD44116">
      <w:pPr>
        <w:spacing w:line="360" w:lineRule="auto"/>
        <w:rPr>
          <w:rFonts w:ascii="Times New Roman" w:hAnsi="Times New Roman" w:cs="Times New Roman"/>
        </w:rPr>
      </w:pPr>
    </w:p>
    <w:p w14:paraId="64021140">
      <w:pPr>
        <w:spacing w:line="360" w:lineRule="auto"/>
        <w:jc w:val="center"/>
        <w:rPr>
          <w:rFonts w:ascii="Times New Roman" w:hAnsi="Times New Roman" w:eastAsia="仿宋_GB2312" w:cs="Times New Roman"/>
          <w:b/>
          <w:bCs/>
          <w:sz w:val="24"/>
          <w:szCs w:val="44"/>
        </w:rPr>
      </w:pPr>
      <w:r>
        <w:rPr>
          <w:rFonts w:ascii="Times New Roman" w:hAnsi="Times New Roman" w:cs="Times New Roman"/>
          <w:b/>
          <w:bCs/>
          <w:sz w:val="24"/>
          <w:szCs w:val="28"/>
        </w:rPr>
        <w:t>(Volume II)</w:t>
      </w:r>
    </w:p>
    <w:p w14:paraId="12724990">
      <w:pPr>
        <w:spacing w:line="360" w:lineRule="auto"/>
        <w:rPr>
          <w:rFonts w:ascii="Times New Roman" w:hAnsi="Times New Roman" w:eastAsia="宋体" w:cs="Times New Roman"/>
          <w:szCs w:val="24"/>
        </w:rPr>
      </w:pPr>
      <w:r>
        <w:rPr>
          <w:rFonts w:ascii="Times New Roman" w:hAnsi="Times New Roman" w:cs="Times New Roman"/>
        </w:rPr>
        <w:t xml:space="preserve">       </w:t>
      </w:r>
    </w:p>
    <w:p w14:paraId="4D86ED25">
      <w:pPr>
        <w:spacing w:line="360" w:lineRule="auto"/>
        <w:rPr>
          <w:rFonts w:ascii="Times New Roman" w:hAnsi="Times New Roman" w:cs="Times New Roman"/>
        </w:rPr>
      </w:pPr>
    </w:p>
    <w:p w14:paraId="317267F1">
      <w:pPr>
        <w:spacing w:line="360" w:lineRule="auto"/>
        <w:rPr>
          <w:rFonts w:ascii="Times New Roman" w:hAnsi="Times New Roman" w:cs="Times New Roman"/>
        </w:rPr>
      </w:pPr>
    </w:p>
    <w:p w14:paraId="7AF6A4E5">
      <w:pPr>
        <w:spacing w:line="360" w:lineRule="auto"/>
        <w:ind w:left="0" w:leftChars="0" w:firstLine="840" w:firstLineChars="300"/>
        <w:rPr>
          <w:rFonts w:hint="eastAsia" w:ascii="Times New Roman" w:hAnsi="Times New Roman" w:cs="Times New Roman" w:eastAsiaTheme="minorEastAsia"/>
          <w:b/>
          <w:bCs/>
          <w:color w:val="FF0000"/>
          <w:sz w:val="28"/>
          <w:szCs w:val="48"/>
          <w:lang w:eastAsia="zh-CN"/>
        </w:rPr>
      </w:pPr>
      <w:r>
        <w:rPr>
          <w:rFonts w:ascii="Times New Roman" w:hAnsi="Times New Roman" w:cs="Times New Roman"/>
          <w:b/>
          <w:bCs/>
          <w:sz w:val="28"/>
          <w:szCs w:val="32"/>
        </w:rPr>
        <w:t xml:space="preserve">Bidding NO.: </w:t>
      </w:r>
      <w:r>
        <w:rPr>
          <w:rFonts w:hint="eastAsia" w:ascii="Times New Roman" w:hAnsi="Times New Roman" w:cs="Times New Roman"/>
          <w:b/>
          <w:bCs/>
          <w:sz w:val="28"/>
          <w:szCs w:val="32"/>
          <w:lang w:eastAsia="zh-CN"/>
        </w:rPr>
        <w:t>3324-2642633H5037</w:t>
      </w:r>
    </w:p>
    <w:p w14:paraId="39F0ADE7">
      <w:pPr>
        <w:spacing w:line="360" w:lineRule="auto"/>
        <w:ind w:left="0" w:leftChars="0" w:firstLine="840" w:firstLineChars="300"/>
        <w:rPr>
          <w:rFonts w:ascii="Times New Roman" w:hAnsi="Times New Roman" w:eastAsia="宋体" w:cs="Times New Roman"/>
          <w:b/>
          <w:bCs/>
          <w:sz w:val="28"/>
          <w:szCs w:val="48"/>
        </w:rPr>
      </w:pPr>
      <w:r>
        <w:rPr>
          <w:rFonts w:ascii="Times New Roman" w:hAnsi="Times New Roman" w:cs="Times New Roman"/>
          <w:b/>
          <w:bCs/>
          <w:sz w:val="28"/>
          <w:szCs w:val="32"/>
        </w:rPr>
        <w:t>Project Name: Fluxgate</w:t>
      </w:r>
    </w:p>
    <w:p w14:paraId="404933BB">
      <w:pPr>
        <w:spacing w:line="360" w:lineRule="auto"/>
        <w:rPr>
          <w:rFonts w:ascii="Times New Roman" w:hAnsi="Times New Roman" w:cs="Times New Roman"/>
        </w:rPr>
      </w:pPr>
    </w:p>
    <w:p w14:paraId="53523578">
      <w:pPr>
        <w:spacing w:line="360" w:lineRule="auto"/>
        <w:rPr>
          <w:rFonts w:ascii="Times New Roman" w:hAnsi="Times New Roman" w:cs="Times New Roman"/>
        </w:rPr>
      </w:pPr>
    </w:p>
    <w:p w14:paraId="397F4889">
      <w:pPr>
        <w:spacing w:line="360" w:lineRule="auto"/>
        <w:rPr>
          <w:rFonts w:ascii="Times New Roman" w:hAnsi="Times New Roman" w:cs="Times New Roman"/>
        </w:rPr>
      </w:pPr>
    </w:p>
    <w:p w14:paraId="7AB58B8D">
      <w:pPr>
        <w:spacing w:line="360" w:lineRule="auto"/>
        <w:rPr>
          <w:rFonts w:ascii="Times New Roman" w:hAnsi="Times New Roman" w:cs="Times New Roman"/>
        </w:rPr>
      </w:pPr>
    </w:p>
    <w:p w14:paraId="7B2E445B">
      <w:pPr>
        <w:spacing w:line="360" w:lineRule="auto"/>
        <w:rPr>
          <w:rFonts w:ascii="Times New Roman" w:hAnsi="Times New Roman" w:cs="Times New Roman"/>
        </w:rPr>
      </w:pPr>
    </w:p>
    <w:p w14:paraId="4BF5C43C">
      <w:pPr>
        <w:pStyle w:val="31"/>
        <w:rPr>
          <w:rFonts w:ascii="Times New Roman" w:hAnsi="Times New Roman" w:cs="Times New Roman"/>
        </w:rPr>
      </w:pPr>
    </w:p>
    <w:p w14:paraId="7270E603">
      <w:pPr>
        <w:pStyle w:val="31"/>
        <w:rPr>
          <w:rFonts w:ascii="Times New Roman" w:hAnsi="Times New Roman" w:cs="Times New Roman"/>
        </w:rPr>
      </w:pPr>
    </w:p>
    <w:p w14:paraId="46F66622">
      <w:pPr>
        <w:pStyle w:val="31"/>
        <w:rPr>
          <w:rFonts w:ascii="Times New Roman" w:hAnsi="Times New Roman" w:cs="Times New Roman"/>
        </w:rPr>
      </w:pPr>
    </w:p>
    <w:p w14:paraId="7830CAB7">
      <w:pPr>
        <w:spacing w:line="360" w:lineRule="auto"/>
        <w:rPr>
          <w:rFonts w:ascii="Times New Roman" w:hAnsi="Times New Roman" w:cs="Times New Roman"/>
        </w:rPr>
      </w:pPr>
    </w:p>
    <w:p w14:paraId="7EB45DD6">
      <w:pPr>
        <w:spacing w:line="360" w:lineRule="auto"/>
        <w:jc w:val="center"/>
        <w:rPr>
          <w:rFonts w:ascii="Times New Roman" w:hAnsi="Times New Roman" w:eastAsia="宋体" w:cs="Times New Roman"/>
          <w:b/>
          <w:bCs/>
          <w:sz w:val="28"/>
          <w:szCs w:val="48"/>
        </w:rPr>
      </w:pPr>
      <w:r>
        <w:rPr>
          <w:rFonts w:ascii="Times New Roman" w:hAnsi="Times New Roman" w:cs="Times New Roman"/>
          <w:b/>
          <w:bCs/>
          <w:sz w:val="28"/>
          <w:szCs w:val="32"/>
        </w:rPr>
        <w:t>Shenzhen Donghai International Tendering Co., Ltd.</w:t>
      </w:r>
    </w:p>
    <w:p w14:paraId="7FAD5940">
      <w:pPr>
        <w:spacing w:line="360" w:lineRule="auto"/>
        <w:jc w:val="center"/>
        <w:rPr>
          <w:rFonts w:ascii="Times New Roman" w:hAnsi="Times New Roman" w:cs="Times New Roman"/>
          <w:b/>
          <w:bCs/>
          <w:sz w:val="28"/>
          <w:szCs w:val="32"/>
        </w:rPr>
      </w:pPr>
    </w:p>
    <w:p w14:paraId="129629B7">
      <w:pPr>
        <w:jc w:val="center"/>
        <w:rPr>
          <w:rFonts w:ascii="Times New Roman" w:hAnsi="Times New Roman" w:cs="Times New Roman"/>
          <w:b/>
          <w:bCs/>
          <w:sz w:val="28"/>
          <w:szCs w:val="32"/>
        </w:rPr>
      </w:pPr>
      <w:r>
        <w:rPr>
          <w:rFonts w:hint="eastAsia" w:ascii="Times New Roman" w:hAnsi="Times New Roman" w:cs="Times New Roman"/>
          <w:b/>
          <w:bCs/>
          <w:sz w:val="28"/>
          <w:szCs w:val="32"/>
          <w:lang w:val="en-US" w:eastAsia="zh-CN"/>
        </w:rPr>
        <w:t>June</w:t>
      </w:r>
      <w:r>
        <w:rPr>
          <w:rFonts w:hint="default" w:ascii="Times New Roman" w:hAnsi="Times New Roman" w:cs="Times New Roman"/>
          <w:b/>
          <w:bCs/>
          <w:sz w:val="28"/>
          <w:szCs w:val="32"/>
        </w:rPr>
        <w:t xml:space="preserve"> 2026</w:t>
      </w:r>
      <w:r>
        <w:rPr>
          <w:rFonts w:ascii="Times New Roman" w:hAnsi="Times New Roman" w:cs="Times New Roman"/>
          <w:b/>
          <w:bCs/>
          <w:sz w:val="28"/>
          <w:szCs w:val="32"/>
        </w:rPr>
        <w:br w:type="page"/>
      </w:r>
    </w:p>
    <w:p w14:paraId="5F2C108F">
      <w:pPr>
        <w:pStyle w:val="31"/>
        <w:rPr>
          <w:rFonts w:ascii="Times New Roman" w:hAnsi="Times New Roman"/>
        </w:rPr>
      </w:pPr>
    </w:p>
    <w:p w14:paraId="2FB77F0C">
      <w:pPr>
        <w:rPr>
          <w:rFonts w:ascii="Times New Roman" w:hAnsi="Times New Roman" w:cs="Times New Roman"/>
        </w:rPr>
      </w:pPr>
    </w:p>
    <w:p w14:paraId="30E89A3A">
      <w:pPr>
        <w:rPr>
          <w:rFonts w:ascii="Times New Roman" w:hAnsi="Times New Roman" w:cs="Times New Roman"/>
        </w:rPr>
      </w:pPr>
    </w:p>
    <w:p w14:paraId="33281688">
      <w:pPr>
        <w:spacing w:line="360" w:lineRule="auto"/>
        <w:jc w:val="center"/>
        <w:rPr>
          <w:rFonts w:ascii="Times New Roman" w:hAnsi="Times New Roman" w:eastAsia="宋体" w:cs="Times New Roman"/>
          <w:b/>
          <w:bCs/>
          <w:sz w:val="36"/>
          <w:szCs w:val="32"/>
        </w:rPr>
      </w:pPr>
      <w:r>
        <w:rPr>
          <w:rFonts w:ascii="Times New Roman" w:hAnsi="Times New Roman" w:cs="Times New Roman"/>
          <w:b/>
          <w:bCs/>
          <w:sz w:val="36"/>
          <w:szCs w:val="40"/>
        </w:rPr>
        <w:t>General list</w:t>
      </w:r>
    </w:p>
    <w:p w14:paraId="0581BF46">
      <w:pPr>
        <w:spacing w:line="360" w:lineRule="auto"/>
        <w:rPr>
          <w:rFonts w:ascii="Times New Roman" w:hAnsi="Times New Roman" w:cs="Times New Roman"/>
          <w:b/>
          <w:bCs/>
          <w:sz w:val="28"/>
          <w:szCs w:val="32"/>
        </w:rPr>
      </w:pPr>
    </w:p>
    <w:p w14:paraId="19924656">
      <w:pPr>
        <w:spacing w:line="360" w:lineRule="auto"/>
        <w:jc w:val="center"/>
        <w:rPr>
          <w:rFonts w:ascii="Times New Roman" w:hAnsi="Times New Roman" w:eastAsia="宋体" w:cs="Times New Roman"/>
          <w:b/>
          <w:bCs/>
          <w:sz w:val="28"/>
          <w:szCs w:val="36"/>
        </w:rPr>
      </w:pPr>
      <w:r>
        <w:rPr>
          <w:rFonts w:ascii="Times New Roman" w:hAnsi="Times New Roman" w:cs="Times New Roman"/>
          <w:b/>
          <w:bCs/>
          <w:sz w:val="28"/>
          <w:szCs w:val="32"/>
        </w:rPr>
        <w:t>Volume 1 (White Paper of the Ministry of Commerce)</w:t>
      </w:r>
    </w:p>
    <w:p w14:paraId="60A00F08">
      <w:pPr>
        <w:spacing w:line="360" w:lineRule="auto"/>
        <w:rPr>
          <w:rFonts w:ascii="Times New Roman" w:hAnsi="Times New Roman" w:eastAsia="宋体" w:cs="Times New Roman"/>
          <w:b/>
          <w:bCs/>
          <w:sz w:val="28"/>
          <w:szCs w:val="36"/>
        </w:rPr>
      </w:pPr>
      <w:r>
        <w:rPr>
          <w:rFonts w:ascii="Times New Roman" w:hAnsi="Times New Roman" w:cs="Times New Roman"/>
          <w:b/>
          <w:bCs/>
          <w:sz w:val="28"/>
          <w:szCs w:val="32"/>
        </w:rPr>
        <w:t>Chapter 1 Instructions to Bidder</w:t>
      </w:r>
    </w:p>
    <w:p w14:paraId="6940EA47">
      <w:pPr>
        <w:spacing w:line="360" w:lineRule="auto"/>
        <w:rPr>
          <w:rFonts w:ascii="Times New Roman" w:hAnsi="Times New Roman" w:eastAsia="宋体" w:cs="Times New Roman"/>
          <w:b/>
          <w:bCs/>
          <w:sz w:val="28"/>
          <w:szCs w:val="36"/>
        </w:rPr>
      </w:pPr>
      <w:r>
        <w:rPr>
          <w:rFonts w:ascii="Times New Roman" w:hAnsi="Times New Roman" w:cs="Times New Roman"/>
          <w:b/>
          <w:bCs/>
          <w:sz w:val="28"/>
          <w:szCs w:val="32"/>
        </w:rPr>
        <w:t>Chapter 2 General conditions of contract</w:t>
      </w:r>
    </w:p>
    <w:p w14:paraId="65BC19C1">
      <w:pPr>
        <w:spacing w:line="360" w:lineRule="auto"/>
        <w:rPr>
          <w:rFonts w:ascii="Times New Roman" w:hAnsi="Times New Roman" w:eastAsia="宋体" w:cs="Times New Roman"/>
          <w:b/>
          <w:bCs/>
          <w:sz w:val="28"/>
          <w:szCs w:val="36"/>
        </w:rPr>
      </w:pPr>
      <w:r>
        <w:rPr>
          <w:rFonts w:ascii="Times New Roman" w:hAnsi="Times New Roman" w:cs="Times New Roman"/>
          <w:b/>
          <w:bCs/>
          <w:sz w:val="28"/>
          <w:szCs w:val="32"/>
        </w:rPr>
        <w:t>Chapter 3 Form of contract</w:t>
      </w:r>
    </w:p>
    <w:p w14:paraId="6389B15B">
      <w:pPr>
        <w:spacing w:line="360" w:lineRule="auto"/>
        <w:rPr>
          <w:rFonts w:ascii="Times New Roman" w:hAnsi="Times New Roman" w:eastAsia="宋体" w:cs="Times New Roman"/>
          <w:b/>
          <w:bCs/>
          <w:sz w:val="28"/>
          <w:szCs w:val="36"/>
        </w:rPr>
      </w:pPr>
      <w:r>
        <w:rPr>
          <w:rFonts w:ascii="Times New Roman" w:hAnsi="Times New Roman" w:cs="Times New Roman"/>
          <w:b/>
          <w:bCs/>
          <w:sz w:val="28"/>
          <w:szCs w:val="32"/>
        </w:rPr>
        <w:t>Chapter 4 Format of bidding documents</w:t>
      </w:r>
    </w:p>
    <w:p w14:paraId="43736986">
      <w:pPr>
        <w:spacing w:line="360" w:lineRule="auto"/>
        <w:rPr>
          <w:rFonts w:ascii="Times New Roman" w:hAnsi="Times New Roman" w:cs="Times New Roman"/>
          <w:b/>
          <w:bCs/>
          <w:sz w:val="28"/>
          <w:szCs w:val="32"/>
        </w:rPr>
      </w:pPr>
    </w:p>
    <w:p w14:paraId="617143F9">
      <w:pPr>
        <w:spacing w:line="360" w:lineRule="auto"/>
        <w:rPr>
          <w:rFonts w:ascii="Times New Roman" w:hAnsi="Times New Roman" w:eastAsia="宋体" w:cs="Times New Roman"/>
          <w:b/>
          <w:bCs/>
          <w:sz w:val="21"/>
          <w:szCs w:val="21"/>
        </w:rPr>
      </w:pPr>
      <w:r>
        <w:rPr>
          <w:rFonts w:ascii="Times New Roman" w:hAnsi="Times New Roman" w:cs="Times New Roman"/>
          <w:b/>
          <w:bCs/>
          <w:sz w:val="21"/>
          <w:szCs w:val="22"/>
        </w:rPr>
        <w:t>For details, please refer to the Electrical &amp; Mechanical International Tender Standard Tender Document (Trial) compiled by the Department of Foreign Trade under the Ministry of Commerce.</w:t>
      </w:r>
    </w:p>
    <w:p w14:paraId="56DA3EF1">
      <w:pPr>
        <w:spacing w:line="360" w:lineRule="auto"/>
        <w:rPr>
          <w:rFonts w:ascii="Times New Roman" w:hAnsi="Times New Roman" w:cs="Times New Roman"/>
          <w:b/>
          <w:bCs/>
          <w:sz w:val="28"/>
          <w:szCs w:val="32"/>
        </w:rPr>
      </w:pPr>
    </w:p>
    <w:p w14:paraId="633C8751">
      <w:pPr>
        <w:spacing w:line="360" w:lineRule="auto"/>
        <w:jc w:val="center"/>
        <w:rPr>
          <w:rFonts w:ascii="Times New Roman" w:hAnsi="Times New Roman" w:eastAsia="宋体" w:cs="Times New Roman"/>
          <w:b/>
          <w:bCs/>
          <w:sz w:val="28"/>
          <w:szCs w:val="36"/>
        </w:rPr>
      </w:pPr>
      <w:r>
        <w:rPr>
          <w:rFonts w:ascii="Times New Roman" w:hAnsi="Times New Roman" w:cs="Times New Roman"/>
          <w:b/>
          <w:bCs/>
          <w:sz w:val="28"/>
          <w:szCs w:val="32"/>
        </w:rPr>
        <w:t>Volume 2 (Technical and commercial)</w:t>
      </w:r>
    </w:p>
    <w:p w14:paraId="6000E820">
      <w:pPr>
        <w:spacing w:line="360" w:lineRule="auto"/>
        <w:rPr>
          <w:rFonts w:ascii="Times New Roman" w:hAnsi="Times New Roman" w:eastAsia="宋体" w:cs="Times New Roman"/>
          <w:b/>
          <w:bCs/>
          <w:sz w:val="28"/>
          <w:szCs w:val="36"/>
        </w:rPr>
      </w:pPr>
      <w:r>
        <w:rPr>
          <w:rFonts w:ascii="Times New Roman" w:hAnsi="Times New Roman" w:cs="Times New Roman"/>
          <w:b/>
          <w:bCs/>
          <w:sz w:val="28"/>
          <w:szCs w:val="32"/>
        </w:rPr>
        <w:t xml:space="preserve">      Chapter 5 Invitation for bid</w:t>
      </w:r>
    </w:p>
    <w:p w14:paraId="59D99B40">
      <w:pPr>
        <w:spacing w:line="360" w:lineRule="auto"/>
        <w:rPr>
          <w:rFonts w:ascii="Times New Roman" w:hAnsi="Times New Roman" w:eastAsia="宋体" w:cs="Times New Roman"/>
          <w:b/>
          <w:bCs/>
          <w:sz w:val="28"/>
          <w:szCs w:val="36"/>
        </w:rPr>
      </w:pPr>
      <w:r>
        <w:rPr>
          <w:rFonts w:ascii="Times New Roman" w:hAnsi="Times New Roman" w:cs="Times New Roman"/>
          <w:b/>
          <w:bCs/>
          <w:sz w:val="28"/>
          <w:szCs w:val="32"/>
        </w:rPr>
        <w:t xml:space="preserve">      Chapter 6 Bid data sheet</w:t>
      </w:r>
    </w:p>
    <w:p w14:paraId="09BE1328">
      <w:pPr>
        <w:spacing w:line="360" w:lineRule="auto"/>
        <w:rPr>
          <w:rFonts w:ascii="Times New Roman" w:hAnsi="Times New Roman" w:eastAsia="宋体" w:cs="Times New Roman"/>
          <w:b/>
          <w:bCs/>
          <w:sz w:val="28"/>
          <w:szCs w:val="36"/>
        </w:rPr>
      </w:pPr>
      <w:r>
        <w:rPr>
          <w:rFonts w:ascii="Times New Roman" w:hAnsi="Times New Roman" w:cs="Times New Roman"/>
          <w:b/>
          <w:bCs/>
          <w:sz w:val="28"/>
          <w:szCs w:val="32"/>
        </w:rPr>
        <w:t xml:space="preserve">      Chapter 7 Special conditions of contract</w:t>
      </w:r>
    </w:p>
    <w:p w14:paraId="638EC150">
      <w:pPr>
        <w:spacing w:line="360" w:lineRule="auto"/>
        <w:ind w:left="840" w:hanging="840" w:hangingChars="300"/>
        <w:rPr>
          <w:rFonts w:ascii="Times New Roman" w:hAnsi="Times New Roman" w:eastAsia="宋体" w:cs="Times New Roman"/>
          <w:b/>
          <w:bCs/>
          <w:sz w:val="28"/>
          <w:szCs w:val="36"/>
        </w:rPr>
      </w:pPr>
      <w:r>
        <w:rPr>
          <w:rFonts w:ascii="Times New Roman" w:hAnsi="Times New Roman" w:cs="Times New Roman"/>
          <w:b/>
          <w:bCs/>
          <w:sz w:val="28"/>
          <w:szCs w:val="32"/>
        </w:rPr>
        <w:t xml:space="preserve">      Chapter 8 List of goods requirement and technical specifications</w:t>
      </w:r>
    </w:p>
    <w:p w14:paraId="0E0EFD36">
      <w:pPr>
        <w:spacing w:line="360" w:lineRule="auto"/>
        <w:jc w:val="center"/>
        <w:rPr>
          <w:rFonts w:ascii="Times New Roman" w:hAnsi="Times New Roman" w:eastAsia="宋体" w:cs="Times New Roman"/>
          <w:szCs w:val="24"/>
        </w:rPr>
      </w:pPr>
      <w:r>
        <w:rPr>
          <w:rFonts w:ascii="Times New Roman" w:hAnsi="Times New Roman" w:cs="Times New Roman"/>
        </w:rPr>
        <w:br w:type="page"/>
      </w:r>
      <w:r>
        <w:rPr>
          <w:rFonts w:ascii="Times New Roman" w:hAnsi="Times New Roman" w:cs="Times New Roman"/>
          <w:b/>
          <w:bCs/>
          <w:sz w:val="36"/>
          <w:szCs w:val="40"/>
        </w:rPr>
        <w:t>Content</w:t>
      </w:r>
    </w:p>
    <w:p w14:paraId="0750BE8A">
      <w:pPr>
        <w:spacing w:line="360" w:lineRule="auto"/>
        <w:jc w:val="center"/>
        <w:rPr>
          <w:rFonts w:ascii="Times New Roman" w:hAnsi="Times New Roman" w:eastAsia="宋体" w:cs="Times New Roman"/>
          <w:b/>
          <w:bCs/>
          <w:sz w:val="28"/>
          <w:szCs w:val="36"/>
        </w:rPr>
      </w:pPr>
      <w:r>
        <w:rPr>
          <w:rFonts w:ascii="Times New Roman" w:hAnsi="Times New Roman" w:cs="Times New Roman"/>
          <w:b/>
          <w:bCs/>
          <w:sz w:val="28"/>
          <w:szCs w:val="32"/>
        </w:rPr>
        <w:t>(Volume II)</w:t>
      </w:r>
    </w:p>
    <w:p w14:paraId="5C2C238C">
      <w:pPr>
        <w:spacing w:line="360" w:lineRule="auto"/>
        <w:rPr>
          <w:rFonts w:ascii="Times New Roman" w:hAnsi="Times New Roman" w:cs="Times New Roman"/>
          <w:b/>
          <w:bCs/>
          <w:sz w:val="28"/>
          <w:szCs w:val="32"/>
        </w:rPr>
      </w:pPr>
    </w:p>
    <w:p w14:paraId="220179CC">
      <w:pPr>
        <w:spacing w:line="360" w:lineRule="auto"/>
        <w:ind w:left="0" w:leftChars="0" w:firstLine="840" w:firstLineChars="300"/>
        <w:rPr>
          <w:rFonts w:ascii="Times New Roman" w:hAnsi="Times New Roman" w:eastAsia="宋体" w:cs="Times New Roman"/>
          <w:b/>
          <w:bCs/>
          <w:sz w:val="28"/>
          <w:szCs w:val="40"/>
        </w:rPr>
      </w:pPr>
      <w:r>
        <w:rPr>
          <w:rFonts w:ascii="Times New Roman" w:hAnsi="Times New Roman" w:cs="Times New Roman"/>
          <w:b/>
          <w:bCs/>
          <w:sz w:val="28"/>
          <w:szCs w:val="32"/>
        </w:rPr>
        <w:t xml:space="preserve">Chapter 5 Invitation for bid  </w:t>
      </w:r>
    </w:p>
    <w:p w14:paraId="09C7CCDE">
      <w:pPr>
        <w:spacing w:line="360" w:lineRule="auto"/>
        <w:ind w:left="0" w:leftChars="0" w:firstLine="840" w:firstLineChars="300"/>
        <w:rPr>
          <w:rFonts w:ascii="Times New Roman" w:hAnsi="Times New Roman" w:eastAsia="宋体" w:cs="Times New Roman"/>
          <w:b/>
          <w:bCs/>
          <w:sz w:val="28"/>
          <w:szCs w:val="40"/>
        </w:rPr>
      </w:pPr>
      <w:r>
        <w:rPr>
          <w:rFonts w:ascii="Times New Roman" w:hAnsi="Times New Roman" w:cs="Times New Roman"/>
          <w:b/>
          <w:bCs/>
          <w:sz w:val="28"/>
          <w:szCs w:val="32"/>
        </w:rPr>
        <w:t>Chapter 6 Bid data sheet</w:t>
      </w:r>
    </w:p>
    <w:p w14:paraId="3DB68564">
      <w:pPr>
        <w:spacing w:line="360" w:lineRule="auto"/>
        <w:ind w:left="0" w:leftChars="0" w:firstLine="840" w:firstLineChars="300"/>
        <w:rPr>
          <w:rFonts w:ascii="Times New Roman" w:hAnsi="Times New Roman" w:eastAsia="宋体" w:cs="Times New Roman"/>
          <w:b/>
          <w:bCs/>
          <w:sz w:val="28"/>
          <w:szCs w:val="40"/>
        </w:rPr>
      </w:pPr>
      <w:r>
        <w:rPr>
          <w:rFonts w:ascii="Times New Roman" w:hAnsi="Times New Roman" w:cs="Times New Roman"/>
          <w:b/>
          <w:bCs/>
          <w:sz w:val="28"/>
          <w:szCs w:val="32"/>
        </w:rPr>
        <w:t>Chapter 7 Special conditions of contract</w:t>
      </w:r>
    </w:p>
    <w:p w14:paraId="1244210E">
      <w:pPr>
        <w:spacing w:line="360" w:lineRule="auto"/>
        <w:ind w:left="0" w:leftChars="0" w:firstLine="840" w:firstLineChars="300"/>
        <w:rPr>
          <w:rFonts w:ascii="Times New Roman" w:hAnsi="Times New Roman" w:eastAsia="宋体" w:cs="Times New Roman"/>
          <w:b/>
          <w:bCs/>
          <w:sz w:val="28"/>
          <w:szCs w:val="40"/>
        </w:rPr>
      </w:pPr>
      <w:r>
        <w:rPr>
          <w:rFonts w:ascii="Times New Roman" w:hAnsi="Times New Roman" w:cs="Times New Roman"/>
          <w:b/>
          <w:bCs/>
          <w:sz w:val="28"/>
          <w:szCs w:val="32"/>
        </w:rPr>
        <w:t>Chapter 8 List of goods requirement and technical specifications</w:t>
      </w:r>
    </w:p>
    <w:p w14:paraId="0F5CF75C">
      <w:pPr>
        <w:spacing w:line="360" w:lineRule="auto"/>
        <w:rPr>
          <w:rFonts w:ascii="Times New Roman" w:hAnsi="Times New Roman" w:cs="Times New Roman"/>
          <w:b/>
          <w:bCs/>
          <w:sz w:val="28"/>
          <w:szCs w:val="32"/>
        </w:rPr>
      </w:pPr>
    </w:p>
    <w:p w14:paraId="6439C3B9">
      <w:pPr>
        <w:pStyle w:val="2"/>
        <w:keepNext w:val="0"/>
        <w:keepLines w:val="0"/>
        <w:pageBreakBefore w:val="0"/>
        <w:kinsoku/>
        <w:wordWrap/>
        <w:overflowPunct/>
        <w:topLinePunct w:val="0"/>
        <w:bidi w:val="0"/>
        <w:snapToGrid/>
        <w:spacing w:beforeAutospacing="0" w:afterAutospacing="0" w:line="240" w:lineRule="auto"/>
        <w:jc w:val="center"/>
        <w:textAlignment w:val="auto"/>
        <w:rPr>
          <w:rFonts w:hint="default" w:ascii="Times New Roman" w:hAnsi="Times New Roman"/>
          <w:sz w:val="22"/>
          <w:szCs w:val="21"/>
        </w:rPr>
      </w:pPr>
      <w:r>
        <w:rPr>
          <w:rFonts w:hint="default" w:ascii="Times New Roman" w:hAnsi="Times New Roman"/>
          <w:b/>
          <w:bCs/>
          <w:sz w:val="36"/>
          <w:szCs w:val="36"/>
        </w:rPr>
        <w:br w:type="page"/>
      </w:r>
      <w:r>
        <w:rPr>
          <w:rFonts w:hint="default" w:ascii="Times New Roman" w:hAnsi="Times New Roman"/>
          <w:b/>
          <w:bCs/>
          <w:sz w:val="36"/>
          <w:szCs w:val="36"/>
        </w:rPr>
        <w:t>Chapter 5 Invitation for bid</w:t>
      </w:r>
    </w:p>
    <w:p w14:paraId="0F5A9D8F">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both"/>
        <w:textAlignment w:val="auto"/>
        <w:rPr>
          <w:rFonts w:ascii="Times New Roman" w:hAnsi="Times New Roman" w:eastAsia="宋体" w:cs="Times New Roman"/>
          <w:szCs w:val="21"/>
        </w:rPr>
      </w:pPr>
      <w:r>
        <w:rPr>
          <w:rFonts w:ascii="Times New Roman" w:hAnsi="Times New Roman" w:cs="Times New Roman"/>
        </w:rPr>
        <w:t xml:space="preserve">Shenzhen Donghai International Tendering Co., Ltd. (hereinafter referred to as the “Tendering Agency”) is entrusted by the tenderee to conduct international open competitive bidding for the following products and services, and will be announced on China International Tendering Network on </w:t>
      </w:r>
      <w:r>
        <w:rPr>
          <w:rFonts w:hint="eastAsia" w:ascii="Times New Roman" w:hAnsi="Times New Roman" w:cs="Times New Roman"/>
          <w:color w:val="FF0000"/>
          <w:lang w:val="en-US" w:eastAsia="zh-CN"/>
        </w:rPr>
        <w:t>June 12</w:t>
      </w:r>
      <w:r>
        <w:rPr>
          <w:rFonts w:ascii="Times New Roman" w:hAnsi="Times New Roman" w:cs="Times New Roman"/>
          <w:color w:val="FF0000"/>
        </w:rPr>
        <w:t>, 2026</w:t>
      </w:r>
      <w:r>
        <w:rPr>
          <w:rFonts w:ascii="Times New Roman" w:hAnsi="Times New Roman" w:cs="Times New Roman"/>
        </w:rPr>
        <w:t>. This bidding adopts the traditional bidding method, and qualified bidders are invited to participate in the bidding.</w:t>
      </w:r>
    </w:p>
    <w:p w14:paraId="559B3ABE">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ascii="Times New Roman" w:hAnsi="Times New Roman" w:cs="Times New Roman"/>
          <w:b/>
          <w:bCs/>
        </w:rPr>
        <w:t>1. Bidding conditions</w:t>
      </w:r>
    </w:p>
    <w:p w14:paraId="22EA590E">
      <w:pPr>
        <w:pStyle w:val="33"/>
        <w:keepNext w:val="0"/>
        <w:keepLines w:val="0"/>
        <w:pageBreakBefore w:val="0"/>
        <w:numPr>
          <w:ilvl w:val="0"/>
          <w:numId w:val="1"/>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u w:val="single"/>
        </w:rPr>
      </w:pPr>
      <w:r>
        <w:rPr>
          <w:rFonts w:ascii="Times New Roman" w:hAnsi="Times New Roman" w:cs="Times New Roman"/>
        </w:rPr>
        <w:t xml:space="preserve">Project overview: </w:t>
      </w:r>
      <w:bookmarkStart w:id="0" w:name="OLE_LINK9"/>
      <w:r>
        <w:rPr>
          <w:rFonts w:ascii="Times New Roman" w:hAnsi="Times New Roman" w:cs="Times New Roman"/>
        </w:rPr>
        <w:t>Fluxgate</w:t>
      </w:r>
    </w:p>
    <w:bookmarkEnd w:id="0"/>
    <w:p w14:paraId="15B6A793">
      <w:pPr>
        <w:pStyle w:val="33"/>
        <w:keepNext w:val="0"/>
        <w:keepLines w:val="0"/>
        <w:pageBreakBefore w:val="0"/>
        <w:numPr>
          <w:ilvl w:val="0"/>
          <w:numId w:val="1"/>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Availability of funds or availability of funding sources: Available</w:t>
      </w:r>
    </w:p>
    <w:p w14:paraId="69D5EDB9">
      <w:pPr>
        <w:pStyle w:val="33"/>
        <w:keepNext w:val="0"/>
        <w:keepLines w:val="0"/>
        <w:pageBreakBefore w:val="0"/>
        <w:numPr>
          <w:ilvl w:val="0"/>
          <w:numId w:val="1"/>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Description of the bidding conditions of the project: Yes</w:t>
      </w:r>
    </w:p>
    <w:p w14:paraId="180CB985">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ascii="Times New Roman" w:hAnsi="Times New Roman" w:cs="Times New Roman"/>
          <w:b/>
          <w:bCs/>
        </w:rPr>
        <w:t>2. Contents of bidding:</w:t>
      </w:r>
    </w:p>
    <w:p w14:paraId="0B55624C">
      <w:pPr>
        <w:pStyle w:val="33"/>
        <w:keepNext w:val="0"/>
        <w:keepLines w:val="0"/>
        <w:pageBreakBefore w:val="0"/>
        <w:numPr>
          <w:ilvl w:val="0"/>
          <w:numId w:val="2"/>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 xml:space="preserve">Bidding project No.: </w:t>
      </w:r>
      <w:r>
        <w:rPr>
          <w:rFonts w:hint="eastAsia" w:ascii="Times New Roman" w:hAnsi="Times New Roman" w:cs="Times New Roman"/>
          <w:lang w:eastAsia="zh-CN"/>
        </w:rPr>
        <w:t>3324-2642633H5037</w:t>
      </w:r>
    </w:p>
    <w:p w14:paraId="08D2BC3C">
      <w:pPr>
        <w:pStyle w:val="33"/>
        <w:keepNext w:val="0"/>
        <w:keepLines w:val="0"/>
        <w:pageBreakBefore w:val="0"/>
        <w:numPr>
          <w:ilvl w:val="0"/>
          <w:numId w:val="2"/>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Bidding project name: Fluxgate</w:t>
      </w:r>
    </w:p>
    <w:p w14:paraId="51BAAFBB">
      <w:pPr>
        <w:pStyle w:val="33"/>
        <w:keepNext w:val="0"/>
        <w:keepLines w:val="0"/>
        <w:pageBreakBefore w:val="0"/>
        <w:numPr>
          <w:ilvl w:val="0"/>
          <w:numId w:val="2"/>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Project implementation location: Guangdong Province, China</w:t>
      </w:r>
    </w:p>
    <w:p w14:paraId="276CD663">
      <w:pPr>
        <w:pStyle w:val="33"/>
        <w:keepNext w:val="0"/>
        <w:keepLines w:val="0"/>
        <w:pageBreakBefore w:val="0"/>
        <w:numPr>
          <w:ilvl w:val="0"/>
          <w:numId w:val="2"/>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List of bidding products (major equipment):</w:t>
      </w:r>
    </w:p>
    <w:tbl>
      <w:tblPr>
        <w:tblStyle w:val="15"/>
        <w:tblW w:w="525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autofit"/>
        <w:tblCellMar>
          <w:top w:w="0" w:type="dxa"/>
          <w:left w:w="0" w:type="dxa"/>
          <w:bottom w:w="0" w:type="dxa"/>
          <w:right w:w="0" w:type="dxa"/>
        </w:tblCellMar>
      </w:tblPr>
      <w:tblGrid>
        <w:gridCol w:w="1153"/>
        <w:gridCol w:w="3794"/>
        <w:gridCol w:w="784"/>
        <w:gridCol w:w="1028"/>
        <w:gridCol w:w="1994"/>
      </w:tblGrid>
      <w:tr w14:paraId="23B215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86" w:hRule="atLeast"/>
          <w:jc w:val="center"/>
        </w:trPr>
        <w:tc>
          <w:tcPr>
            <w:tcW w:w="659" w:type="pct"/>
            <w:shd w:val="clear" w:color="auto" w:fill="FFFFFF"/>
            <w:tcMar>
              <w:top w:w="45" w:type="dxa"/>
              <w:bottom w:w="45" w:type="dxa"/>
            </w:tcMar>
            <w:vAlign w:val="center"/>
          </w:tcPr>
          <w:p w14:paraId="5D89151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bookmarkStart w:id="1" w:name="OLE_LINK45"/>
            <w:r>
              <w:rPr>
                <w:rFonts w:hint="default" w:ascii="Times New Roman" w:hAnsi="Times New Roman" w:cs="Times New Roman"/>
              </w:rPr>
              <w:t>Serial number</w:t>
            </w:r>
          </w:p>
        </w:tc>
        <w:tc>
          <w:tcPr>
            <w:tcW w:w="2167" w:type="pct"/>
            <w:shd w:val="clear" w:color="auto" w:fill="FFFFFF"/>
            <w:tcMar>
              <w:top w:w="45" w:type="dxa"/>
              <w:bottom w:w="45" w:type="dxa"/>
            </w:tcMar>
            <w:vAlign w:val="center"/>
          </w:tcPr>
          <w:p w14:paraId="5D8AE68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Product name</w:t>
            </w:r>
          </w:p>
        </w:tc>
        <w:tc>
          <w:tcPr>
            <w:tcW w:w="448" w:type="pct"/>
            <w:tcBorders>
              <w:right w:val="single" w:color="auto" w:sz="4" w:space="0"/>
            </w:tcBorders>
            <w:shd w:val="clear" w:color="auto" w:fill="FFFFFF"/>
            <w:tcMar>
              <w:top w:w="45" w:type="dxa"/>
              <w:bottom w:w="45" w:type="dxa"/>
            </w:tcMar>
            <w:vAlign w:val="center"/>
          </w:tcPr>
          <w:p w14:paraId="5F78D4F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Quantity</w:t>
            </w:r>
          </w:p>
        </w:tc>
        <w:tc>
          <w:tcPr>
            <w:tcW w:w="587" w:type="pct"/>
            <w:shd w:val="clear" w:color="auto" w:fill="FFFFFF"/>
            <w:vAlign w:val="center"/>
          </w:tcPr>
          <w:p w14:paraId="582F9DF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Unit</w:t>
            </w:r>
          </w:p>
        </w:tc>
        <w:tc>
          <w:tcPr>
            <w:tcW w:w="1139" w:type="pct"/>
            <w:shd w:val="clear" w:color="auto" w:fill="FFFFFF"/>
            <w:tcMar>
              <w:top w:w="45" w:type="dxa"/>
              <w:bottom w:w="45" w:type="dxa"/>
            </w:tcMar>
            <w:vAlign w:val="center"/>
          </w:tcPr>
          <w:p w14:paraId="1F02C57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Brief technical specifications</w:t>
            </w:r>
          </w:p>
        </w:tc>
      </w:tr>
      <w:tr w14:paraId="45CB2B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6" w:hRule="atLeast"/>
          <w:jc w:val="center"/>
        </w:trPr>
        <w:tc>
          <w:tcPr>
            <w:tcW w:w="659" w:type="pct"/>
            <w:shd w:val="clear" w:color="auto" w:fill="FFFFFF"/>
            <w:tcMar>
              <w:top w:w="45" w:type="dxa"/>
              <w:bottom w:w="45" w:type="dxa"/>
            </w:tcMar>
            <w:vAlign w:val="center"/>
          </w:tcPr>
          <w:p w14:paraId="583488E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bookmarkStart w:id="2" w:name="OLE_LINK5" w:colFirst="2" w:colLast="2"/>
            <w:bookmarkStart w:id="3" w:name="OLE_LINK1" w:colFirst="4" w:colLast="5"/>
            <w:r>
              <w:rPr>
                <w:rFonts w:hint="default" w:ascii="Times New Roman" w:hAnsi="Times New Roman" w:cs="Times New Roman"/>
              </w:rPr>
              <w:t>1</w:t>
            </w:r>
          </w:p>
        </w:tc>
        <w:tc>
          <w:tcPr>
            <w:tcW w:w="2167" w:type="pct"/>
            <w:shd w:val="clear" w:color="auto" w:fill="FFFFFF"/>
            <w:tcMar>
              <w:top w:w="45" w:type="dxa"/>
              <w:bottom w:w="45" w:type="dxa"/>
            </w:tcMar>
            <w:vAlign w:val="center"/>
          </w:tcPr>
          <w:p w14:paraId="08740F9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kern w:val="0"/>
                <w:szCs w:val="21"/>
              </w:rPr>
            </w:pPr>
            <w:r>
              <w:rPr>
                <w:rFonts w:hint="default" w:ascii="Times New Roman" w:hAnsi="Times New Roman" w:cs="Times New Roman"/>
              </w:rPr>
              <w:t>Fluxgate</w:t>
            </w:r>
          </w:p>
        </w:tc>
        <w:tc>
          <w:tcPr>
            <w:tcW w:w="448" w:type="pct"/>
            <w:tcBorders>
              <w:right w:val="single" w:color="auto" w:sz="4" w:space="0"/>
            </w:tcBorders>
            <w:shd w:val="clear" w:color="auto" w:fill="FFFFFF"/>
            <w:tcMar>
              <w:top w:w="45" w:type="dxa"/>
              <w:bottom w:w="45" w:type="dxa"/>
            </w:tcMar>
            <w:vAlign w:val="center"/>
          </w:tcPr>
          <w:p w14:paraId="0B30830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kern w:val="0"/>
                <w:szCs w:val="21"/>
              </w:rPr>
            </w:pPr>
            <w:r>
              <w:rPr>
                <w:rFonts w:hint="default" w:ascii="Times New Roman" w:hAnsi="Times New Roman" w:cs="Times New Roman"/>
              </w:rPr>
              <w:t>215</w:t>
            </w:r>
          </w:p>
        </w:tc>
        <w:tc>
          <w:tcPr>
            <w:tcW w:w="587" w:type="pct"/>
            <w:shd w:val="clear" w:color="auto" w:fill="FFFFFF"/>
            <w:vAlign w:val="center"/>
          </w:tcPr>
          <w:p w14:paraId="3621A48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kern w:val="0"/>
                <w:szCs w:val="21"/>
              </w:rPr>
            </w:pPr>
            <w:r>
              <w:rPr>
                <w:rFonts w:hint="default" w:ascii="Times New Roman" w:hAnsi="Times New Roman" w:cs="Times New Roman"/>
              </w:rPr>
              <w:t>Set</w:t>
            </w:r>
          </w:p>
        </w:tc>
        <w:tc>
          <w:tcPr>
            <w:tcW w:w="1139" w:type="pct"/>
            <w:shd w:val="clear" w:color="auto" w:fill="FFFFFF"/>
            <w:tcMar>
              <w:top w:w="45" w:type="dxa"/>
              <w:bottom w:w="45" w:type="dxa"/>
            </w:tcMar>
            <w:vAlign w:val="center"/>
          </w:tcPr>
          <w:p w14:paraId="1A321BC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Please refer to the tender document for details</w:t>
            </w:r>
          </w:p>
        </w:tc>
      </w:tr>
      <w:bookmarkEnd w:id="1"/>
      <w:bookmarkEnd w:id="2"/>
      <w:bookmarkEnd w:id="3"/>
    </w:tbl>
    <w:p w14:paraId="0929F07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ascii="Times New Roman" w:hAnsi="Times New Roman" w:cs="Times New Roman"/>
          <w:b/>
          <w:bCs/>
        </w:rPr>
        <w:t xml:space="preserve">3. Requirements for bidder qualification </w:t>
      </w:r>
    </w:p>
    <w:p w14:paraId="46BE973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ascii="Times New Roman" w:hAnsi="Times New Roman" w:cs="Times New Roman"/>
          <w:b/>
          <w:bCs/>
        </w:rPr>
        <w:t xml:space="preserve">   The qualifications or performance of the bidder:</w:t>
      </w:r>
    </w:p>
    <w:p w14:paraId="50D5AFC1">
      <w:pPr>
        <w:pStyle w:val="33"/>
        <w:keepNext w:val="0"/>
        <w:keepLines w:val="0"/>
        <w:pageBreakBefore w:val="0"/>
        <w:numPr>
          <w:ilvl w:val="0"/>
          <w:numId w:val="3"/>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If the bidder is a legal person or an independent organization (If the bidder is a domestic supplier in the People's Republic of China, it shall provide a copy of the business license; If it is a foreign supplier, it shall provide a copy of the official business registration certificate of its country or region);</w:t>
      </w:r>
    </w:p>
    <w:p w14:paraId="69816458">
      <w:pPr>
        <w:pStyle w:val="33"/>
        <w:keepNext w:val="0"/>
        <w:keepLines w:val="0"/>
        <w:pageBreakBefore w:val="0"/>
        <w:numPr>
          <w:ilvl w:val="0"/>
          <w:numId w:val="3"/>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This project accepts the bidding of imported products, and also encourages domestic products to participate in the bidding: If the product is imported, the bidder must be the manufacturer or legal agent or legally authorized supplier of the product (provide relevant proof scan); If the product is a domestic product (non-imported product), the bidder does not need to provide proof that it is the manufacturer or legal agent or legally authorized supplier of the product;</w:t>
      </w:r>
    </w:p>
    <w:p w14:paraId="5EE99F7C">
      <w:pPr>
        <w:pStyle w:val="33"/>
        <w:keepNext w:val="0"/>
        <w:keepLines w:val="0"/>
        <w:pageBreakBefore w:val="0"/>
        <w:numPr>
          <w:ilvl w:val="0"/>
          <w:numId w:val="3"/>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The bidder shall provide documents proving that it has the financial, technical and production capacity required for the performance of the Contract;</w:t>
      </w:r>
      <w:bookmarkStart w:id="4" w:name="OLE_LINK27"/>
      <w:bookmarkEnd w:id="4"/>
    </w:p>
    <w:p w14:paraId="5793EC97">
      <w:pPr>
        <w:pStyle w:val="33"/>
        <w:keepNext w:val="0"/>
        <w:keepLines w:val="0"/>
        <w:pageBreakBefore w:val="0"/>
        <w:numPr>
          <w:ilvl w:val="0"/>
          <w:numId w:val="3"/>
        </w:numPr>
        <w:kinsoku/>
        <w:wordWrap/>
        <w:overflowPunct/>
        <w:topLinePunct w:val="0"/>
        <w:bidi w:val="0"/>
        <w:snapToGrid/>
        <w:spacing w:beforeAutospacing="0" w:afterAutospacing="0" w:line="240" w:lineRule="auto"/>
        <w:ind w:firstLineChars="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rPr>
        <w:t>The original credit certificate issued by the bidder's basic account opening bank within three months before the bid opening date or the copy of the original;</w:t>
      </w:r>
      <w:bookmarkStart w:id="5" w:name="OLE_LINK2"/>
      <w:bookmarkEnd w:id="5"/>
    </w:p>
    <w:p w14:paraId="27BDF63F">
      <w:pPr>
        <w:pStyle w:val="33"/>
        <w:keepNext w:val="0"/>
        <w:keepLines w:val="0"/>
        <w:pageBreakBefore w:val="0"/>
        <w:numPr>
          <w:ilvl w:val="0"/>
          <w:numId w:val="3"/>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If the bidder is a domestic supplier, it must meet the following conditions: Within three years before participating in the bidding of this project, there is no major illegal record in business activities; There is no situation that is prohibited by relevant departments from participating in government procurement activities and within the validity period when participating in government procurement activities of this project; Have the conditions of the first paragraph of Article 22 of the Government Procurement Law of the People's Republic of China; Have not been included in the list of breach of the person subjected to execution, the list of parties to major tax violations, and the list of records of serious violations of government procurement. (Provide a written statement in accordance with the format and contents of tender document Format IV-10. Statement Letter)</w:t>
      </w:r>
    </w:p>
    <w:p w14:paraId="6234CB15">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Note: “Credit China”, “Chinese Government Procurement Network”, and "Shenzhen Municipal Government Procurement Supervision Network" are the channels for inquiring about the credit information of domestic suppliers, and the relevant information is subject to the inquiry results on the day of bid opening;</w:t>
      </w:r>
    </w:p>
    <w:p w14:paraId="39209143">
      <w:pPr>
        <w:pStyle w:val="33"/>
        <w:keepNext w:val="0"/>
        <w:keepLines w:val="0"/>
        <w:pageBreakBefore w:val="0"/>
        <w:numPr>
          <w:ilvl w:val="0"/>
          <w:numId w:val="3"/>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Bidders participating in the international bidding must register on the BidLink (https: / / www.ebnew.com) or the electronic trading platform for bidding and tendering of electromechanical products (https: / / www.chinabidding.com);</w:t>
      </w:r>
    </w:p>
    <w:p w14:paraId="5959E773">
      <w:pPr>
        <w:pStyle w:val="33"/>
        <w:keepNext w:val="0"/>
        <w:keepLines w:val="0"/>
        <w:pageBreakBefore w:val="0"/>
        <w:numPr>
          <w:ilvl w:val="0"/>
          <w:numId w:val="3"/>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The domestic bidder must be the supplier registered by Shenzhen Municipal Government for procurement; (It is inquired by the tendering agency, and the bidder does not need to provide proof materials).</w:t>
      </w:r>
    </w:p>
    <w:p w14:paraId="3C7C693E">
      <w:pPr>
        <w:pStyle w:val="31"/>
        <w:keepNext w:val="0"/>
        <w:keepLines w:val="0"/>
        <w:pageBreakBefore w:val="0"/>
        <w:numPr>
          <w:ilvl w:val="0"/>
          <w:numId w:val="3"/>
        </w:numPr>
        <w:kinsoku/>
        <w:wordWrap/>
        <w:overflowPunct/>
        <w:topLinePunct w:val="0"/>
        <w:bidi w:val="0"/>
        <w:snapToGrid/>
        <w:spacing w:beforeAutospacing="0" w:afterAutospacing="0" w:line="240" w:lineRule="auto"/>
        <w:ind w:left="425" w:leftChars="0" w:hanging="425" w:firstLineChars="0"/>
        <w:jc w:val="both"/>
        <w:textAlignment w:val="auto"/>
        <w:rPr>
          <w:rFonts w:ascii="Times New Roman" w:hAnsi="Times New Roman"/>
          <w:color w:val="auto"/>
          <w:kern w:val="2"/>
          <w:sz w:val="21"/>
          <w:szCs w:val="21"/>
          <w:highlight w:val="none"/>
        </w:rPr>
      </w:pPr>
      <w:r>
        <w:rPr>
          <w:rFonts w:ascii="Times New Roman" w:hAnsi="Times New Roman" w:cs="Times New Roman" w:eastAsiaTheme="minorEastAsia"/>
          <w:color w:val="auto"/>
          <w:kern w:val="2"/>
          <w:sz w:val="21"/>
          <w:szCs w:val="22"/>
          <w:highlight w:val="none"/>
          <w:lang w:val="en-US" w:eastAsia="zh-CN" w:bidi="ar-SA"/>
        </w:rPr>
        <w:t xml:space="preserve">This project does not accept </w:t>
      </w:r>
      <w:r>
        <w:rPr>
          <w:rFonts w:hint="default" w:ascii="Times New Roman" w:hAnsi="Times New Roman" w:cs="Times New Roman" w:eastAsiaTheme="minorEastAsia"/>
          <w:color w:val="auto"/>
          <w:kern w:val="2"/>
          <w:sz w:val="21"/>
          <w:szCs w:val="22"/>
          <w:highlight w:val="none"/>
          <w:lang w:val="en-US" w:eastAsia="zh-CN" w:bidi="ar-SA"/>
        </w:rPr>
        <w:t>joint bidding, and subcontracting or contract transferring is not allowed</w:t>
      </w:r>
      <w:r>
        <w:rPr>
          <w:rFonts w:ascii="Times New Roman" w:hAnsi="Times New Roman" w:cs="Times New Roman" w:eastAsiaTheme="minorEastAsia"/>
          <w:color w:val="auto"/>
          <w:kern w:val="2"/>
          <w:sz w:val="21"/>
          <w:szCs w:val="22"/>
          <w:highlight w:val="none"/>
          <w:lang w:val="en-US" w:eastAsia="zh-CN" w:bidi="ar-SA"/>
        </w:rPr>
        <w:t>.</w:t>
      </w:r>
    </w:p>
    <w:p w14:paraId="03BD9C5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p>
    <w:p w14:paraId="22C4EE0A">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Whether to accept the joint bidding: No;</w:t>
      </w:r>
    </w:p>
    <w:p w14:paraId="33C07FB2">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Is it possible to participate in the bidding without obtaining the tender document: No.</w:t>
      </w:r>
    </w:p>
    <w:p w14:paraId="44CE4861">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ascii="Times New Roman" w:hAnsi="Times New Roman" w:cs="Times New Roman"/>
          <w:b/>
          <w:bCs/>
        </w:rPr>
        <w:t>4. Acquisition of tender document</w:t>
      </w:r>
    </w:p>
    <w:p w14:paraId="3ABBF744">
      <w:pPr>
        <w:pStyle w:val="33"/>
        <w:keepNext w:val="0"/>
        <w:keepLines w:val="0"/>
        <w:pageBreakBefore w:val="0"/>
        <w:numPr>
          <w:ilvl w:val="0"/>
          <w:numId w:val="4"/>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 xml:space="preserve">Start time for obtaining the tender document: </w:t>
      </w:r>
      <w:bookmarkStart w:id="6" w:name="OLE_LINK29"/>
      <w:r>
        <w:rPr>
          <w:rFonts w:hint="eastAsia" w:ascii="Times New Roman" w:hAnsi="Times New Roman" w:cs="Times New Roman"/>
          <w:color w:val="FF0000"/>
          <w:lang w:val="en-US" w:eastAsia="zh-CN"/>
        </w:rPr>
        <w:t>June 12</w:t>
      </w:r>
      <w:r>
        <w:rPr>
          <w:rFonts w:ascii="Times New Roman" w:hAnsi="Times New Roman" w:cs="Times New Roman"/>
          <w:color w:val="FF0000"/>
        </w:rPr>
        <w:t xml:space="preserve">, 2026 </w:t>
      </w:r>
      <w:bookmarkEnd w:id="6"/>
    </w:p>
    <w:p w14:paraId="3C1D3D8C">
      <w:pPr>
        <w:pStyle w:val="33"/>
        <w:keepNext w:val="0"/>
        <w:keepLines w:val="0"/>
        <w:pageBreakBefore w:val="0"/>
        <w:numPr>
          <w:ilvl w:val="0"/>
          <w:numId w:val="4"/>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 xml:space="preserve">End time for obtaining the tender document: </w:t>
      </w:r>
      <w:bookmarkStart w:id="7" w:name="OLE_LINK30"/>
      <w:r>
        <w:rPr>
          <w:rFonts w:hint="eastAsia" w:ascii="Times New Roman" w:hAnsi="Times New Roman" w:cs="Times New Roman"/>
          <w:color w:val="FF0000"/>
          <w:lang w:val="en-US" w:eastAsia="zh-CN"/>
        </w:rPr>
        <w:t>June 22</w:t>
      </w:r>
      <w:r>
        <w:rPr>
          <w:rFonts w:ascii="Times New Roman" w:hAnsi="Times New Roman" w:cs="Times New Roman"/>
          <w:color w:val="FF0000"/>
        </w:rPr>
        <w:t xml:space="preserve">, 2026 </w:t>
      </w:r>
      <w:bookmarkEnd w:id="7"/>
    </w:p>
    <w:p w14:paraId="06082D7A">
      <w:pPr>
        <w:pStyle w:val="33"/>
        <w:keepNext w:val="0"/>
        <w:keepLines w:val="0"/>
        <w:pageBreakBefore w:val="0"/>
        <w:numPr>
          <w:ilvl w:val="0"/>
          <w:numId w:val="4"/>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Method of obtaining tender documents: Online</w:t>
      </w:r>
    </w:p>
    <w:p w14:paraId="187C4477">
      <w:pPr>
        <w:pStyle w:val="33"/>
        <w:keepNext w:val="0"/>
        <w:keepLines w:val="0"/>
        <w:pageBreakBefore w:val="0"/>
        <w:numPr>
          <w:ilvl w:val="0"/>
          <w:numId w:val="4"/>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Location for obtaining the tender documents: Send an email to gm@szdhit.com</w:t>
      </w:r>
    </w:p>
    <w:p w14:paraId="474DF5FC">
      <w:pPr>
        <w:pStyle w:val="33"/>
        <w:keepNext w:val="0"/>
        <w:keepLines w:val="0"/>
        <w:pageBreakBefore w:val="0"/>
        <w:numPr>
          <w:ilvl w:val="0"/>
          <w:numId w:val="4"/>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 xml:space="preserve">Price of tender document: </w:t>
      </w:r>
      <w:r>
        <w:rPr>
          <w:rFonts w:ascii="Times New Roman" w:hAnsi="Times New Roman" w:cs="Times New Roman"/>
          <w:highlight w:val="yellow"/>
        </w:rPr>
        <w:t>￥700</w:t>
      </w:r>
    </w:p>
    <w:p w14:paraId="4A942E7D">
      <w:pPr>
        <w:pStyle w:val="33"/>
        <w:keepNext w:val="0"/>
        <w:keepLines w:val="0"/>
        <w:pageBreakBefore w:val="0"/>
        <w:numPr>
          <w:ilvl w:val="0"/>
          <w:numId w:val="4"/>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Other notes:</w:t>
      </w:r>
    </w:p>
    <w:p w14:paraId="75B14915">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① List of related matters:</w:t>
      </w:r>
    </w:p>
    <w:p w14:paraId="0A09DF03">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 xml:space="preserve">1.1 All interested bidders are requested to register within the time stated in "4. Acquisition of Tender Document.” The "information to be provided for registration" (sealed colored scanned copy in PDF format) should be sent to the e-mail: gm@szdhit.com for registration, and pay the tender fee of RMB </w:t>
      </w:r>
      <w:r>
        <w:rPr>
          <w:rFonts w:ascii="Times New Roman" w:hAnsi="Times New Roman" w:cs="Times New Roman"/>
          <w:highlight w:val="yellow"/>
        </w:rPr>
        <w:t>700</w:t>
      </w:r>
      <w:r>
        <w:rPr>
          <w:rFonts w:ascii="Times New Roman" w:hAnsi="Times New Roman" w:cs="Times New Roman"/>
        </w:rPr>
        <w:t xml:space="preserve"> (Only cash or corporate transfer is accepted), and the registration will not be accepted after the deadline.</w:t>
      </w:r>
    </w:p>
    <w:p w14:paraId="6EDD648F">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1.2 Contact: Miss Zhang, Tel: 0755-86959133 to 8001. (Only provide the service of obtaining relevant consultation for tender documents. For other bidding matters, please contact the contact person of the tendering agency below).</w:t>
      </w:r>
    </w:p>
    <w:p w14:paraId="2429E471">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1.3 Conditions for successful registration: ① The supplier shall provide the "information to be provided for registration" as required; ② The supplier shall pay the bid document fee normally. Relevant matters shall be handled before the time of obtaining the tender documents.</w:t>
      </w:r>
    </w:p>
    <w:p w14:paraId="323D79C5">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bCs/>
          <w:szCs w:val="21"/>
        </w:rPr>
      </w:pPr>
      <w:r>
        <w:rPr>
          <w:rFonts w:ascii="Times New Roman" w:hAnsi="Times New Roman" w:cs="Times New Roman"/>
        </w:rPr>
        <w:t>② Information to be provided in the application:</w:t>
      </w:r>
    </w:p>
    <w:p w14:paraId="7AF3485E">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bCs/>
          <w:szCs w:val="21"/>
        </w:rPr>
      </w:pPr>
      <w:r>
        <w:rPr>
          <w:rFonts w:ascii="Times New Roman" w:hAnsi="Times New Roman" w:cs="Times New Roman"/>
        </w:rPr>
        <w:t>2.1 Registration form for purchase negotiation documents;</w:t>
      </w:r>
    </w:p>
    <w:p w14:paraId="6DFEF00C">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bCs/>
          <w:szCs w:val="21"/>
        </w:rPr>
      </w:pPr>
      <w:r>
        <w:rPr>
          <w:rFonts w:ascii="Times New Roman" w:hAnsi="Times New Roman" w:cs="Times New Roman"/>
        </w:rPr>
        <w:t>2.2 Scanned copy of the business license (legal person certificate, etc.) (if it is an overseas supplier, please provide the enterprise registration certificate);</w:t>
      </w:r>
    </w:p>
    <w:p w14:paraId="14CFC064">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bCs/>
          <w:szCs w:val="21"/>
        </w:rPr>
      </w:pPr>
      <w:r>
        <w:rPr>
          <w:rFonts w:ascii="Times New Roman" w:hAnsi="Times New Roman" w:cs="Times New Roman"/>
        </w:rPr>
        <w:t>2.3 Certificate of legal representative and power of attorney, with copy of ID card of legal representative and copy of ID card of authorized representative;</w:t>
      </w:r>
    </w:p>
    <w:p w14:paraId="17A80C3B">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bCs/>
          <w:szCs w:val="21"/>
        </w:rPr>
      </w:pPr>
      <w:r>
        <w:rPr>
          <w:rFonts w:ascii="Times New Roman" w:hAnsi="Times New Roman" w:cs="Times New Roman"/>
        </w:rPr>
        <w:t>Note: Suppliers can download the Registration Form of Negotiating Documents and the Certificate of Legal Representative and Power of Attorney free of charge from the website of the purchasing agency (www.szdhit.com).</w:t>
      </w:r>
    </w:p>
    <w:p w14:paraId="4840BA36">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bCs/>
          <w:szCs w:val="21"/>
        </w:rPr>
      </w:pPr>
      <w:r>
        <w:rPr>
          <w:rFonts w:ascii="Times New Roman" w:hAnsi="Times New Roman" w:cs="Times New Roman"/>
        </w:rPr>
        <w:t>The above documents shall be affixed with the official seal of the bidder.</w:t>
      </w:r>
    </w:p>
    <w:p w14:paraId="4B7F2D84">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Note: Please stamp, scan, and send the above documents to the email address: gm@szdhit.com. The format of the title of the email is: Registration information + full name of the supplier + project name + project number, and contact Miss Zhang to confirm the registration information and the arrival of the tender fee, otherwise the registration is invalid. After registration, the relevant fees are not refunded, and the registration project information cannot be replaced.</w:t>
      </w:r>
    </w:p>
    <w:p w14:paraId="6EE2F91D">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③ Opening bank of purchasing agency and relevant information:</w:t>
      </w:r>
    </w:p>
    <w:p w14:paraId="2478236F">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Bank of deposit: Shenzhen Donghu Sub-branch of China Agricultural Bank Co., Ltd.</w:t>
      </w:r>
    </w:p>
    <w:p w14:paraId="398FBE5A">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Account name: Shenzhen Donghai International Tendering Co., Ltd.</w:t>
      </w:r>
    </w:p>
    <w:p w14:paraId="310CF5D0">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Account number: 4100 1800 0400 2656 1</w:t>
      </w:r>
    </w:p>
    <w:p w14:paraId="49156EBB">
      <w:pPr>
        <w:keepNext w:val="0"/>
        <w:keepLines w:val="0"/>
        <w:pageBreakBefore w:val="0"/>
        <w:widowControl/>
        <w:kinsoku/>
        <w:wordWrap/>
        <w:overflowPunct/>
        <w:topLinePunct w:val="0"/>
        <w:autoSpaceDE/>
        <w:autoSpaceDN/>
        <w:bidi w:val="0"/>
        <w:adjustRightInd/>
        <w:snapToGrid/>
        <w:spacing w:beforeAutospacing="0" w:afterAutospacing="0" w:line="240" w:lineRule="auto"/>
        <w:ind w:left="420" w:leftChars="200" w:firstLine="420" w:firstLineChars="200"/>
        <w:jc w:val="both"/>
        <w:textAlignment w:val="auto"/>
        <w:rPr>
          <w:rFonts w:ascii="Times New Roman" w:hAnsi="Times New Roman" w:eastAsia="宋体" w:cs="Times New Roman"/>
          <w:szCs w:val="21"/>
        </w:rPr>
      </w:pPr>
      <w:r>
        <w:rPr>
          <w:rFonts w:ascii="Times New Roman" w:hAnsi="Times New Roman" w:cs="Times New Roman"/>
        </w:rPr>
        <w:t>Please note the name of the company + reason for payment (purchase of tender documents or payment of bid-winning service fees)</w:t>
      </w:r>
    </w:p>
    <w:p w14:paraId="07EB59AD">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ascii="Times New Roman" w:hAnsi="Times New Roman" w:cs="Times New Roman"/>
          <w:b/>
          <w:bCs/>
        </w:rPr>
        <w:t>5. Submission of bidding documents</w:t>
      </w:r>
    </w:p>
    <w:p w14:paraId="69D57B08">
      <w:pPr>
        <w:pStyle w:val="33"/>
        <w:keepNext w:val="0"/>
        <w:keepLines w:val="0"/>
        <w:pageBreakBefore w:val="0"/>
        <w:numPr>
          <w:ilvl w:val="0"/>
          <w:numId w:val="5"/>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 xml:space="preserve">Deadline for bidding (bid opening time): </w:t>
      </w:r>
      <w:r>
        <w:rPr>
          <w:rFonts w:ascii="Times New Roman" w:hAnsi="Times New Roman" w:cs="Times New Roman"/>
          <w:color w:val="FF0000"/>
        </w:rPr>
        <w:t xml:space="preserve">09: 30 on </w:t>
      </w:r>
      <w:r>
        <w:rPr>
          <w:rFonts w:hint="eastAsia" w:ascii="Times New Roman" w:hAnsi="Times New Roman" w:cs="Times New Roman"/>
          <w:color w:val="FF0000"/>
          <w:lang w:val="en-US" w:eastAsia="zh-CN"/>
        </w:rPr>
        <w:t>July 3</w:t>
      </w:r>
      <w:r>
        <w:rPr>
          <w:rFonts w:ascii="Times New Roman" w:hAnsi="Times New Roman" w:cs="Times New Roman"/>
          <w:color w:val="FF0000"/>
        </w:rPr>
        <w:t>, 2026</w:t>
      </w:r>
    </w:p>
    <w:p w14:paraId="511854B4">
      <w:pPr>
        <w:pStyle w:val="33"/>
        <w:keepNext w:val="0"/>
        <w:keepLines w:val="0"/>
        <w:pageBreakBefore w:val="0"/>
        <w:numPr>
          <w:ilvl w:val="0"/>
          <w:numId w:val="5"/>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Delivery place of bidding documents: Shenzhen Donghai International Tendering Co., Ltd. Guangming Branch, Room 3105-06, 31st Floor, Building 1B, Lefu Plaza, No. 481 Guangming Avenue, Dongkeng Community, Fenghuang Subdistrict, Guangming District, Shenzhen</w:t>
      </w:r>
    </w:p>
    <w:p w14:paraId="33401B31">
      <w:pPr>
        <w:pStyle w:val="33"/>
        <w:keepNext w:val="0"/>
        <w:keepLines w:val="0"/>
        <w:pageBreakBefore w:val="0"/>
        <w:numPr>
          <w:ilvl w:val="0"/>
          <w:numId w:val="5"/>
        </w:numPr>
        <w:kinsoku/>
        <w:wordWrap/>
        <w:overflowPunct/>
        <w:topLinePunct w:val="0"/>
        <w:bidi w:val="0"/>
        <w:snapToGrid/>
        <w:spacing w:beforeAutospacing="0" w:afterAutospacing="0" w:line="240" w:lineRule="auto"/>
        <w:ind w:firstLineChars="0"/>
        <w:jc w:val="both"/>
        <w:textAlignment w:val="auto"/>
        <w:rPr>
          <w:rFonts w:ascii="Times New Roman" w:hAnsi="Times New Roman" w:eastAsia="宋体" w:cs="Times New Roman"/>
          <w:szCs w:val="21"/>
        </w:rPr>
      </w:pPr>
      <w:r>
        <w:rPr>
          <w:rFonts w:ascii="Times New Roman" w:hAnsi="Times New Roman" w:cs="Times New Roman"/>
        </w:rPr>
        <w:t>Place of bid opening: Shenzhen Donghai International Tendering Co., Ltd. Guangming Branch, Room 3105-06, 31st Floor, Building 1B, Lefu Plaza, No. 481 Guangming Avenue, Dongkeng Community, Fenghuang Subdistrict, Guangming District, Shenzhen</w:t>
      </w:r>
    </w:p>
    <w:p w14:paraId="7DA639E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hint="default" w:ascii="Times New Roman" w:hAnsi="Times New Roman" w:cs="Times New Roman"/>
          <w:b/>
          <w:bCs/>
        </w:rPr>
        <w:t xml:space="preserve">6. </w:t>
      </w:r>
      <w:r>
        <w:rPr>
          <w:rFonts w:ascii="Times New Roman" w:hAnsi="Times New Roman" w:cs="Times New Roman"/>
          <w:b/>
          <w:bCs/>
        </w:rPr>
        <w:t>The bidder shall complete the registration and information verification on the BidLink (https://www.ebnew.com) or the electronic trading platform for bidding and tendering of electromechanical products (https://www.chinabidding.com).</w:t>
      </w:r>
    </w:p>
    <w:p w14:paraId="1A6B8CCE">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rPr>
      </w:pPr>
      <w:r>
        <w:rPr>
          <w:rFonts w:hint="default" w:ascii="Times New Roman" w:hAnsi="Times New Roman" w:cs="Times New Roman"/>
          <w:b/>
          <w:bCs/>
        </w:rPr>
        <w:t xml:space="preserve">7. </w:t>
      </w:r>
      <w:r>
        <w:rPr>
          <w:rFonts w:ascii="Times New Roman" w:hAnsi="Times New Roman" w:cs="Times New Roman"/>
          <w:b/>
          <w:bCs/>
        </w:rPr>
        <w:t>Contact details:</w:t>
      </w:r>
    </w:p>
    <w:p w14:paraId="5B99F617">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Tenderee: Institute of Advanced Light Source Facilities, Shenzhen</w:t>
      </w:r>
    </w:p>
    <w:p w14:paraId="457DD23F">
      <w:pPr>
        <w:pStyle w:val="33"/>
        <w:keepNext w:val="0"/>
        <w:keepLines w:val="0"/>
        <w:pageBreakBefore w:val="0"/>
        <w:numPr>
          <w:ilvl w:val="0"/>
          <w:numId w:val="6"/>
        </w:numPr>
        <w:kinsoku/>
        <w:wordWrap/>
        <w:overflowPunct/>
        <w:topLinePunct w:val="0"/>
        <w:bidi w:val="0"/>
        <w:snapToGrid/>
        <w:spacing w:beforeAutospacing="0" w:afterAutospacing="0" w:line="240" w:lineRule="auto"/>
        <w:ind w:left="425" w:leftChars="0" w:hanging="5" w:firstLineChars="0"/>
        <w:jc w:val="both"/>
        <w:textAlignment w:val="auto"/>
        <w:rPr>
          <w:rFonts w:ascii="Times New Roman" w:hAnsi="Times New Roman" w:eastAsia="宋体" w:cs="Times New Roman"/>
          <w:szCs w:val="21"/>
        </w:rPr>
      </w:pPr>
      <w:r>
        <w:rPr>
          <w:rFonts w:ascii="Times New Roman" w:hAnsi="Times New Roman" w:cs="Times New Roman"/>
        </w:rPr>
        <w:t>Address: Complex Building, Institute of Advanced Light Source Facilities, Shenzhen, No. 618, Lihu Subdistrict, Guangming District, Shenzhen</w:t>
      </w:r>
    </w:p>
    <w:p w14:paraId="15108864">
      <w:pPr>
        <w:pStyle w:val="33"/>
        <w:keepNext w:val="0"/>
        <w:keepLines w:val="0"/>
        <w:pageBreakBefore w:val="0"/>
        <w:numPr>
          <w:ilvl w:val="0"/>
          <w:numId w:val="6"/>
        </w:numPr>
        <w:kinsoku/>
        <w:wordWrap/>
        <w:overflowPunct/>
        <w:topLinePunct w:val="0"/>
        <w:bidi w:val="0"/>
        <w:snapToGrid/>
        <w:spacing w:beforeAutospacing="0" w:afterAutospacing="0" w:line="240" w:lineRule="auto"/>
        <w:ind w:left="425" w:leftChars="0" w:hanging="5" w:firstLineChars="0"/>
        <w:jc w:val="both"/>
        <w:textAlignment w:val="auto"/>
        <w:rPr>
          <w:rFonts w:ascii="Times New Roman" w:hAnsi="Times New Roman" w:eastAsia="宋体" w:cs="Times New Roman"/>
          <w:szCs w:val="21"/>
        </w:rPr>
      </w:pPr>
      <w:r>
        <w:rPr>
          <w:rFonts w:ascii="Times New Roman" w:hAnsi="Times New Roman" w:cs="Times New Roman"/>
        </w:rPr>
        <w:t>Contact: Teacher Ai</w:t>
      </w:r>
    </w:p>
    <w:p w14:paraId="4FD0F234">
      <w:pPr>
        <w:pStyle w:val="33"/>
        <w:keepNext w:val="0"/>
        <w:keepLines w:val="0"/>
        <w:pageBreakBefore w:val="0"/>
        <w:numPr>
          <w:ilvl w:val="0"/>
          <w:numId w:val="6"/>
        </w:numPr>
        <w:kinsoku/>
        <w:wordWrap/>
        <w:overflowPunct/>
        <w:topLinePunct w:val="0"/>
        <w:bidi w:val="0"/>
        <w:snapToGrid/>
        <w:spacing w:beforeAutospacing="0" w:afterAutospacing="0" w:line="240" w:lineRule="auto"/>
        <w:ind w:left="425" w:leftChars="0" w:hanging="5" w:firstLineChars="0"/>
        <w:jc w:val="both"/>
        <w:textAlignment w:val="auto"/>
        <w:rPr>
          <w:rFonts w:ascii="Times New Roman" w:hAnsi="Times New Roman" w:eastAsia="宋体" w:cs="Times New Roman"/>
          <w:szCs w:val="21"/>
        </w:rPr>
      </w:pPr>
      <w:r>
        <w:rPr>
          <w:rFonts w:ascii="Times New Roman" w:hAnsi="Times New Roman" w:cs="Times New Roman"/>
        </w:rPr>
        <w:t xml:space="preserve">Contact details: 0755-21098419 </w:t>
      </w:r>
    </w:p>
    <w:p w14:paraId="0BE13307">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Bidding agency: Shenzhen Donghai International Tendering Co., Ltd.</w:t>
      </w:r>
    </w:p>
    <w:p w14:paraId="2D72B9AE">
      <w:pPr>
        <w:pStyle w:val="33"/>
        <w:keepNext w:val="0"/>
        <w:keepLines w:val="0"/>
        <w:pageBreakBefore w:val="0"/>
        <w:numPr>
          <w:ilvl w:val="0"/>
          <w:numId w:val="7"/>
        </w:numPr>
        <w:kinsoku/>
        <w:wordWrap/>
        <w:overflowPunct/>
        <w:topLinePunct w:val="0"/>
        <w:bidi w:val="0"/>
        <w:snapToGrid/>
        <w:spacing w:beforeAutospacing="0" w:afterAutospacing="0" w:line="240" w:lineRule="auto"/>
        <w:ind w:left="425" w:leftChars="0" w:hanging="5" w:firstLineChars="0"/>
        <w:jc w:val="both"/>
        <w:textAlignment w:val="auto"/>
        <w:rPr>
          <w:rFonts w:ascii="Times New Roman" w:hAnsi="Times New Roman" w:eastAsia="宋体" w:cs="Times New Roman"/>
          <w:szCs w:val="21"/>
        </w:rPr>
      </w:pPr>
      <w:r>
        <w:rPr>
          <w:rFonts w:ascii="Times New Roman" w:hAnsi="Times New Roman" w:cs="Times New Roman"/>
        </w:rPr>
        <w:t>Address: Room 3105-06, 31st Floor, Building 1B, Lefu Plaza, No. 481 Guangming Avenue, Dongkeng Community, Fenghuang Subdistrict, Guangming District, Shenzhen</w:t>
      </w:r>
    </w:p>
    <w:p w14:paraId="3AA8C63B">
      <w:pPr>
        <w:pStyle w:val="33"/>
        <w:keepNext w:val="0"/>
        <w:keepLines w:val="0"/>
        <w:pageBreakBefore w:val="0"/>
        <w:numPr>
          <w:ilvl w:val="0"/>
          <w:numId w:val="7"/>
        </w:numPr>
        <w:kinsoku/>
        <w:wordWrap/>
        <w:overflowPunct/>
        <w:topLinePunct w:val="0"/>
        <w:bidi w:val="0"/>
        <w:snapToGrid/>
        <w:spacing w:beforeAutospacing="0" w:afterAutospacing="0" w:line="240" w:lineRule="auto"/>
        <w:ind w:left="425" w:leftChars="0" w:hanging="5" w:firstLineChars="0"/>
        <w:jc w:val="both"/>
        <w:textAlignment w:val="auto"/>
        <w:rPr>
          <w:rFonts w:ascii="Times New Roman" w:hAnsi="Times New Roman" w:eastAsia="宋体" w:cs="Times New Roman"/>
          <w:szCs w:val="21"/>
        </w:rPr>
      </w:pPr>
      <w:r>
        <w:rPr>
          <w:rFonts w:ascii="Times New Roman" w:hAnsi="Times New Roman" w:cs="Times New Roman"/>
        </w:rPr>
        <w:t>Contact: Ms. Luo and Mr. Li</w:t>
      </w:r>
    </w:p>
    <w:p w14:paraId="44E31FAA">
      <w:pPr>
        <w:pStyle w:val="33"/>
        <w:keepNext w:val="0"/>
        <w:keepLines w:val="0"/>
        <w:pageBreakBefore w:val="0"/>
        <w:numPr>
          <w:ilvl w:val="0"/>
          <w:numId w:val="7"/>
        </w:numPr>
        <w:kinsoku/>
        <w:wordWrap/>
        <w:overflowPunct/>
        <w:topLinePunct w:val="0"/>
        <w:bidi w:val="0"/>
        <w:snapToGrid/>
        <w:spacing w:beforeAutospacing="0" w:afterAutospacing="0" w:line="240" w:lineRule="auto"/>
        <w:ind w:left="425" w:leftChars="0" w:hanging="5" w:firstLineChars="0"/>
        <w:jc w:val="both"/>
        <w:textAlignment w:val="auto"/>
        <w:rPr>
          <w:rFonts w:ascii="Times New Roman" w:hAnsi="Times New Roman" w:eastAsia="宋体" w:cs="Times New Roman"/>
          <w:szCs w:val="21"/>
        </w:rPr>
      </w:pPr>
      <w:r>
        <w:rPr>
          <w:rFonts w:ascii="Times New Roman" w:hAnsi="Times New Roman" w:cs="Times New Roman"/>
        </w:rPr>
        <w:t>Contact information: 0755-86959133, Ext. 8006 or 8004</w:t>
      </w:r>
    </w:p>
    <w:p w14:paraId="664A874F">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p>
    <w:p w14:paraId="01381C1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 w:val="44"/>
          <w:szCs w:val="44"/>
        </w:rPr>
      </w:pPr>
    </w:p>
    <w:p w14:paraId="42BD2384">
      <w:pPr>
        <w:pStyle w:val="2"/>
        <w:keepNext w:val="0"/>
        <w:keepLines w:val="0"/>
        <w:pageBreakBefore w:val="0"/>
        <w:kinsoku/>
        <w:wordWrap/>
        <w:overflowPunct/>
        <w:topLinePunct w:val="0"/>
        <w:bidi w:val="0"/>
        <w:snapToGrid/>
        <w:spacing w:beforeAutospacing="0" w:afterAutospacing="0" w:line="240" w:lineRule="auto"/>
        <w:jc w:val="center"/>
        <w:textAlignment w:val="auto"/>
        <w:rPr>
          <w:rFonts w:hint="default" w:ascii="Times New Roman" w:hAnsi="Times New Roman" w:eastAsia="仿宋_GB2312"/>
          <w:bCs/>
          <w:szCs w:val="20"/>
        </w:rPr>
      </w:pPr>
      <w:bookmarkStart w:id="8" w:name="OLE_LINK7"/>
      <w:r>
        <w:rPr>
          <w:rFonts w:hint="default" w:ascii="Times New Roman" w:hAnsi="Times New Roman"/>
          <w:b/>
          <w:bCs/>
          <w:sz w:val="36"/>
          <w:szCs w:val="36"/>
        </w:rPr>
        <w:t>Chapter 6 Bid data sheet</w:t>
      </w:r>
      <w:bookmarkEnd w:id="8"/>
    </w:p>
    <w:p w14:paraId="597B9D9E">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Cs/>
          <w:szCs w:val="28"/>
        </w:rPr>
      </w:pPr>
      <w:r>
        <w:rPr>
          <w:rFonts w:ascii="Times New Roman" w:hAnsi="Times New Roman" w:cs="Times New Roman"/>
        </w:rPr>
        <w:t>The specific information on the goods to be purchased in this form is the specific supplement and modification to the Electrical &amp; Mechanical International Tender Standard Tender Document (Trial) (compiled by the Department of Foreign Trade under the Ministry of Commerce) “Volume 1, Chapter 1 Instructions to Bidders”. In case of any discrepancy, this data sheet shall prevail.</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03"/>
        <w:gridCol w:w="7456"/>
      </w:tblGrid>
      <w:tr w14:paraId="61612B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08" w:hRule="atLeast"/>
        </w:trPr>
        <w:tc>
          <w:tcPr>
            <w:tcW w:w="540" w:type="pct"/>
            <w:vAlign w:val="center"/>
          </w:tcPr>
          <w:p w14:paraId="51F4F25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bookmarkStart w:id="9" w:name="OLE_LINK66"/>
            <w:r>
              <w:rPr>
                <w:rFonts w:hint="default" w:ascii="Times New Roman" w:hAnsi="Times New Roman" w:cs="Times New Roman"/>
                <w:b/>
                <w:bCs/>
              </w:rPr>
              <w:t>Clause No.</w:t>
            </w:r>
          </w:p>
        </w:tc>
        <w:tc>
          <w:tcPr>
            <w:tcW w:w="4459" w:type="pct"/>
            <w:vAlign w:val="center"/>
          </w:tcPr>
          <w:p w14:paraId="02BA5E0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Content</w:t>
            </w:r>
          </w:p>
        </w:tc>
      </w:tr>
      <w:tr w14:paraId="6C5FB6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74" w:hRule="atLeast"/>
        </w:trPr>
        <w:tc>
          <w:tcPr>
            <w:tcW w:w="5000" w:type="pct"/>
            <w:gridSpan w:val="2"/>
            <w:vAlign w:val="center"/>
          </w:tcPr>
          <w:p w14:paraId="6886BDF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Description</w:t>
            </w:r>
          </w:p>
        </w:tc>
      </w:tr>
      <w:tr w14:paraId="0E542C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774" w:hRule="atLeast"/>
        </w:trPr>
        <w:tc>
          <w:tcPr>
            <w:tcW w:w="540" w:type="pct"/>
            <w:vAlign w:val="center"/>
          </w:tcPr>
          <w:p w14:paraId="376FE22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1.1</w:t>
            </w:r>
          </w:p>
        </w:tc>
        <w:tc>
          <w:tcPr>
            <w:tcW w:w="4459" w:type="pct"/>
            <w:vAlign w:val="center"/>
          </w:tcPr>
          <w:p w14:paraId="51BFBC4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Tenderee: Institute of Advanced Light Source Facilities, Shenzhen</w:t>
            </w:r>
          </w:p>
          <w:p w14:paraId="78A68D8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Address: Complex Building, Institute of Advanced Light Source Facilities, Shenzhen, No. 618, Lihu Subdistrict, Guangming District, Shenzhen</w:t>
            </w:r>
          </w:p>
          <w:p w14:paraId="6171C3B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Contact: Teacher Ai </w:t>
            </w:r>
          </w:p>
          <w:p w14:paraId="39C9710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Tel: 0755-21098419 </w:t>
            </w:r>
          </w:p>
          <w:p w14:paraId="601862C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kern w:val="13"/>
                <w:szCs w:val="24"/>
                <w:u w:val="single"/>
              </w:rPr>
            </w:pPr>
            <w:r>
              <w:rPr>
                <w:rFonts w:hint="default" w:ascii="Times New Roman" w:hAnsi="Times New Roman" w:cs="Times New Roman"/>
              </w:rPr>
              <w:t>Project Name: Fluxgate</w:t>
            </w:r>
          </w:p>
        </w:tc>
      </w:tr>
      <w:tr w14:paraId="749773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94" w:hRule="atLeast"/>
        </w:trPr>
        <w:tc>
          <w:tcPr>
            <w:tcW w:w="540" w:type="pct"/>
            <w:vAlign w:val="center"/>
          </w:tcPr>
          <w:p w14:paraId="520B0CE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1.2</w:t>
            </w:r>
          </w:p>
        </w:tc>
        <w:tc>
          <w:tcPr>
            <w:tcW w:w="4459" w:type="pct"/>
            <w:vAlign w:val="center"/>
          </w:tcPr>
          <w:p w14:paraId="06AFD22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Name of tendering agency: Shenzhen Donghai International Tendering Co., Ltd.</w:t>
            </w:r>
          </w:p>
          <w:p w14:paraId="29F98BF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Address of tendering agency: Room 3105-06, 31st Floor, Building 1B, Lefu Plaza, No. 481 Guangming Avenue, Dongkeng Community, Fenghuang Subdistrict, Guangming District, Shenzhen</w:t>
            </w:r>
          </w:p>
          <w:p w14:paraId="322EB56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Contact: Ms. Luo and Mr. Li</w:t>
            </w:r>
          </w:p>
          <w:p w14:paraId="731C532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Tel: 0755-86959133, Ext. 8006 or 8004</w:t>
            </w:r>
          </w:p>
          <w:p w14:paraId="47E1D69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Email: gm@szdhit.com</w:t>
            </w:r>
          </w:p>
        </w:tc>
      </w:tr>
      <w:tr w14:paraId="0F65D8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94" w:hRule="atLeast"/>
        </w:trPr>
        <w:tc>
          <w:tcPr>
            <w:tcW w:w="540" w:type="pct"/>
            <w:vAlign w:val="center"/>
          </w:tcPr>
          <w:p w14:paraId="5537DE7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1.3</w:t>
            </w:r>
          </w:p>
        </w:tc>
        <w:tc>
          <w:tcPr>
            <w:tcW w:w="4459" w:type="pct"/>
            <w:vAlign w:val="center"/>
          </w:tcPr>
          <w:p w14:paraId="6EC3509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Project overview: Fluxgate</w:t>
            </w:r>
          </w:p>
          <w:p w14:paraId="321C243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Nature of funds: financial funds</w:t>
            </w:r>
          </w:p>
        </w:tc>
      </w:tr>
      <w:tr w14:paraId="0BDC1F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16" w:hRule="atLeast"/>
        </w:trPr>
        <w:tc>
          <w:tcPr>
            <w:tcW w:w="540" w:type="pct"/>
            <w:vAlign w:val="center"/>
          </w:tcPr>
          <w:p w14:paraId="78F726F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*2</w:t>
            </w:r>
          </w:p>
        </w:tc>
        <w:tc>
          <w:tcPr>
            <w:tcW w:w="4459" w:type="pct"/>
            <w:vAlign w:val="center"/>
          </w:tcPr>
          <w:p w14:paraId="712857F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u w:val="single"/>
              </w:rPr>
            </w:pPr>
            <w:r>
              <w:rPr>
                <w:rFonts w:hint="default" w:ascii="Times New Roman" w:hAnsi="Times New Roman" w:cs="Times New Roman"/>
                <w:b/>
                <w:bCs/>
              </w:rPr>
              <w:t>Qualified bidders: According to Clause 2 (2.1-2.8) of “Instructions to Bidders” in Volume I</w:t>
            </w:r>
          </w:p>
        </w:tc>
      </w:tr>
      <w:tr w14:paraId="3CD74F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2150EDF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4</w:t>
            </w:r>
          </w:p>
        </w:tc>
        <w:tc>
          <w:tcPr>
            <w:tcW w:w="4459" w:type="pct"/>
            <w:vAlign w:val="center"/>
          </w:tcPr>
          <w:p w14:paraId="6C84277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Tender fee:</w:t>
            </w:r>
          </w:p>
          <w:p w14:paraId="51BA57D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The bidders shall bear all costs associated with the preparation and participation in the bidding. Regardless of the result of the bidding, the tendering agency and the </w:t>
            </w:r>
            <w:r>
              <w:rPr>
                <w:rFonts w:hint="default" w:ascii="Times New Roman" w:hAnsi="Times New Roman" w:cs="Times New Roman"/>
                <w:lang w:eastAsia="zh-CN"/>
              </w:rPr>
              <w:t>tenderee</w:t>
            </w:r>
            <w:r>
              <w:rPr>
                <w:rFonts w:hint="default" w:ascii="Times New Roman" w:hAnsi="Times New Roman" w:cs="Times New Roman"/>
              </w:rPr>
              <w:t xml:space="preserve"> shall have no obligation and responsibility to bear these costs.</w:t>
            </w:r>
          </w:p>
        </w:tc>
      </w:tr>
      <w:tr w14:paraId="1D3F0A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2B6D373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6.1</w:t>
            </w:r>
          </w:p>
        </w:tc>
        <w:tc>
          <w:tcPr>
            <w:tcW w:w="4459" w:type="pct"/>
            <w:vAlign w:val="center"/>
          </w:tcPr>
          <w:p w14:paraId="2DC1DD9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rPr>
            </w:pPr>
            <w:r>
              <w:rPr>
                <w:rFonts w:hint="default" w:ascii="Times New Roman" w:hAnsi="Times New Roman" w:cs="Times New Roman"/>
              </w:rPr>
              <w:t>Clarification of the tender document:</w:t>
            </w:r>
          </w:p>
          <w:p w14:paraId="3AAAFFF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 w:val="24"/>
                <w:szCs w:val="24"/>
              </w:rPr>
            </w:pPr>
            <w:r>
              <w:rPr>
                <w:rFonts w:hint="default" w:ascii="Times New Roman" w:hAnsi="Times New Roman" w:cs="Times New Roman"/>
              </w:rPr>
              <w:t>All questions requiring clarification of the tender document must be submitted in writing to the tendering agency before the bidding deadline of 10 days, and will no longer be accepted if it is overdue.</w:t>
            </w:r>
            <w:bookmarkStart w:id="10" w:name="OLE_LINK38"/>
            <w:bookmarkEnd w:id="10"/>
          </w:p>
        </w:tc>
      </w:tr>
      <w:tr w14:paraId="55C251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33D8499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7</w:t>
            </w:r>
          </w:p>
        </w:tc>
        <w:tc>
          <w:tcPr>
            <w:tcW w:w="4459" w:type="pct"/>
            <w:vAlign w:val="center"/>
          </w:tcPr>
          <w:p w14:paraId="2F14FDD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If the potential bidders who have received the tender document (including clarifications and amendments to the tender documents) have objections to the tender document, they should submit them to the tenderee or the tendering agency 10 days before the deadline for bidding, and then upload the objections to the bidding network. The objections will no longer be accepted if it is overdue.</w:t>
            </w:r>
          </w:p>
        </w:tc>
      </w:tr>
      <w:tr w14:paraId="038AA3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000" w:type="pct"/>
            <w:gridSpan w:val="2"/>
            <w:vAlign w:val="center"/>
          </w:tcPr>
          <w:p w14:paraId="230A646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b/>
                <w:bCs/>
              </w:rPr>
              <w:t>Preparation and submission of bidding documents</w:t>
            </w:r>
          </w:p>
        </w:tc>
      </w:tr>
      <w:tr w14:paraId="2FA09C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340" w:hRule="atLeast"/>
        </w:trPr>
        <w:tc>
          <w:tcPr>
            <w:tcW w:w="540" w:type="pct"/>
            <w:vAlign w:val="center"/>
          </w:tcPr>
          <w:p w14:paraId="1782664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8</w:t>
            </w:r>
          </w:p>
        </w:tc>
        <w:tc>
          <w:tcPr>
            <w:tcW w:w="4459" w:type="pct"/>
            <w:vAlign w:val="center"/>
          </w:tcPr>
          <w:p w14:paraId="045375F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Language of bidding: Chinese. For biddings from foreign countries, the corresponding original product description in English must be provided, and its Chinese translation must be provided. In case of any discrepancy or contradiction between the two languages, the Chinese version shall prevail.</w:t>
            </w:r>
          </w:p>
          <w:p w14:paraId="4CDB5A3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Tendering language: Chinese and English. The Chinese and English versions of the bidding documents shall be sold at the same time. In case of any discrepancy or contradiction between the two languages, the Chinese version shall prevail.</w:t>
            </w:r>
          </w:p>
        </w:tc>
      </w:tr>
      <w:tr w14:paraId="253F8A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46" w:hRule="atLeast"/>
        </w:trPr>
        <w:tc>
          <w:tcPr>
            <w:tcW w:w="540" w:type="pct"/>
            <w:vAlign w:val="center"/>
          </w:tcPr>
          <w:p w14:paraId="00BF53B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10.3</w:t>
            </w:r>
          </w:p>
        </w:tc>
        <w:tc>
          <w:tcPr>
            <w:tcW w:w="4459" w:type="pct"/>
            <w:vAlign w:val="center"/>
          </w:tcPr>
          <w:p w14:paraId="799E82B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Alternatives: No alternatives are allowed for this project.</w:t>
            </w:r>
          </w:p>
        </w:tc>
      </w:tr>
      <w:tr w14:paraId="5B73DC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46" w:hRule="atLeast"/>
        </w:trPr>
        <w:tc>
          <w:tcPr>
            <w:tcW w:w="540" w:type="pct"/>
            <w:vAlign w:val="center"/>
          </w:tcPr>
          <w:p w14:paraId="23CA15D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*11.2</w:t>
            </w:r>
          </w:p>
        </w:tc>
        <w:tc>
          <w:tcPr>
            <w:tcW w:w="4459" w:type="pct"/>
            <w:vAlign w:val="center"/>
          </w:tcPr>
          <w:p w14:paraId="366997D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No missing items are allowed in the bidding quotation.</w:t>
            </w:r>
          </w:p>
        </w:tc>
      </w:tr>
      <w:tr w14:paraId="360EA5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13" w:hRule="atLeast"/>
        </w:trPr>
        <w:tc>
          <w:tcPr>
            <w:tcW w:w="540" w:type="pct"/>
            <w:vAlign w:val="center"/>
          </w:tcPr>
          <w:p w14:paraId="0DC62DD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*11.4</w:t>
            </w:r>
          </w:p>
        </w:tc>
        <w:tc>
          <w:tcPr>
            <w:tcW w:w="4459" w:type="pct"/>
          </w:tcPr>
          <w:p w14:paraId="6360CB9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Selective quotations or quotations with additional conditions are not acceptable.</w:t>
            </w:r>
          </w:p>
        </w:tc>
      </w:tr>
      <w:tr w14:paraId="4D0C66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248" w:hRule="atLeast"/>
        </w:trPr>
        <w:tc>
          <w:tcPr>
            <w:tcW w:w="540" w:type="pct"/>
            <w:vAlign w:val="center"/>
          </w:tcPr>
          <w:p w14:paraId="3461520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*11.5</w:t>
            </w:r>
          </w:p>
        </w:tc>
        <w:tc>
          <w:tcPr>
            <w:tcW w:w="4459" w:type="pct"/>
          </w:tcPr>
          <w:p w14:paraId="35BB9CD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highlight w:val="none"/>
              </w:rPr>
            </w:pPr>
            <w:r>
              <w:rPr>
                <w:rFonts w:hint="default" w:ascii="Times New Roman" w:hAnsi="Times New Roman" w:cs="Times New Roman"/>
                <w:b/>
                <w:bCs/>
                <w:highlight w:val="none"/>
              </w:rPr>
              <w:t xml:space="preserve">The total budget control amount of this project is RMB 9,030,000. </w:t>
            </w:r>
            <w:r>
              <w:rPr>
                <w:rFonts w:hint="default" w:ascii="Times New Roman" w:hAnsi="Times New Roman" w:cs="Times New Roman"/>
                <w:b/>
                <w:bCs/>
                <w:highlight w:val="none"/>
                <w:lang w:eastAsia="zh-CN"/>
              </w:rPr>
              <w:t>Any bid with a quotation that exceeds the total budget control amount, as well as the unit price and total price of each item specified in the Demand Schedule shall be deemed invalid.</w:t>
            </w:r>
          </w:p>
        </w:tc>
      </w:tr>
      <w:tr w14:paraId="761D4C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47" w:hRule="atLeast"/>
        </w:trPr>
        <w:tc>
          <w:tcPr>
            <w:tcW w:w="540" w:type="pct"/>
            <w:vAlign w:val="center"/>
          </w:tcPr>
          <w:p w14:paraId="26415A2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lang w:val="en-US" w:eastAsia="zh-CN"/>
              </w:rPr>
              <w:t>*</w:t>
            </w:r>
            <w:r>
              <w:rPr>
                <w:rFonts w:hint="default" w:ascii="Times New Roman" w:hAnsi="Times New Roman" w:cs="Times New Roman"/>
              </w:rPr>
              <w:t>11.6.1</w:t>
            </w:r>
          </w:p>
        </w:tc>
        <w:tc>
          <w:tcPr>
            <w:tcW w:w="4459" w:type="pct"/>
            <w:shd w:val="clear" w:color="auto" w:fill="FFFFFF"/>
            <w:vAlign w:val="center"/>
          </w:tcPr>
          <w:p w14:paraId="10E614F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rPr>
              <w:t>For goods supplied within the territory of the People's Republic of China:</w:t>
            </w:r>
          </w:p>
          <w:p w14:paraId="09CFF53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highlight w:val="none"/>
              </w:rPr>
            </w:pPr>
            <w:r>
              <w:rPr>
                <w:rFonts w:hint="default" w:ascii="Times New Roman" w:hAnsi="Times New Roman" w:cs="Times New Roman"/>
                <w:highlight w:val="none"/>
              </w:rPr>
              <w:t>Quotation in RMB including tax. The bidding price includes the price of instruments and equipment, taxes, packaging, transportation, loading and unloading, installation, commissioning, technical guidance, training, consulting, services, insurance, testing, acceptance before delivery and use, technical and after-sales services, and free warranty period return, repair and other all other costs.</w:t>
            </w:r>
          </w:p>
          <w:p w14:paraId="5CDFC8FA">
            <w:pPr>
              <w:pStyle w:val="31"/>
              <w:keepNext w:val="0"/>
              <w:keepLines w:val="0"/>
              <w:suppressLineNumbers w:val="0"/>
              <w:spacing w:before="0" w:beforeAutospacing="0" w:after="0" w:afterAutospacing="0"/>
              <w:ind w:left="0" w:right="0"/>
              <w:jc w:val="both"/>
              <w:rPr>
                <w:rFonts w:hint="default" w:ascii="Times New Roman" w:hAnsi="Times New Roman" w:cs="Times New Roman"/>
                <w:kern w:val="2"/>
                <w:highlight w:val="none"/>
              </w:rPr>
            </w:pPr>
            <w:r>
              <w:rPr>
                <w:rFonts w:hint="default" w:ascii="Times New Roman" w:hAnsi="Times New Roman" w:cs="Times New Roman" w:eastAsiaTheme="minorEastAsia"/>
                <w:color w:val="auto"/>
                <w:kern w:val="2"/>
                <w:sz w:val="21"/>
                <w:szCs w:val="22"/>
                <w:highlight w:val="none"/>
                <w:lang w:val="en-US" w:eastAsia="zh-CN" w:bidi="ar-SA"/>
              </w:rPr>
              <w:t>Completion of the Bid Itemized Quotation Form: For bids with domestic supply, fill out the form in accordance with Form IV-3-1 Bid Itemized Quotation Form (for bids with domestic supply) on Page 53, Volume I.</w:t>
            </w:r>
          </w:p>
        </w:tc>
      </w:tr>
      <w:tr w14:paraId="430FFF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540" w:type="pct"/>
            <w:vAlign w:val="center"/>
          </w:tcPr>
          <w:p w14:paraId="5A0D6F2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lang w:val="en-US" w:eastAsia="zh-CN"/>
              </w:rPr>
              <w:t>*</w:t>
            </w:r>
            <w:r>
              <w:rPr>
                <w:rFonts w:hint="default" w:ascii="Times New Roman" w:hAnsi="Times New Roman" w:cs="Times New Roman"/>
              </w:rPr>
              <w:t>11.6.2</w:t>
            </w:r>
          </w:p>
        </w:tc>
        <w:tc>
          <w:tcPr>
            <w:tcW w:w="4459" w:type="pct"/>
            <w:vAlign w:val="center"/>
          </w:tcPr>
          <w:p w14:paraId="4392BC5C">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rPr>
              <w:t>For goods supplied outside the territory of the People's Republic of China:</w:t>
            </w:r>
          </w:p>
          <w:p w14:paraId="6CE0204A">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eastAsiaTheme="minorEastAsia"/>
                <w:color w:val="auto"/>
                <w:kern w:val="2"/>
                <w:sz w:val="21"/>
                <w:szCs w:val="22"/>
                <w:highlight w:val="none"/>
                <w:lang w:val="en-US" w:eastAsia="zh-CN" w:bidi="ar-SA"/>
              </w:rPr>
              <w:t>Quotation shall be on CIP terms, including unloading, delivered to the location designated by the Purchaser.</w:t>
            </w:r>
            <w:r>
              <w:rPr>
                <w:rFonts w:hint="default" w:ascii="Times New Roman" w:hAnsi="Times New Roman" w:cs="Times New Roman"/>
                <w:highlight w:val="none"/>
              </w:rPr>
              <w:t xml:space="preserve">The bid shall be quoted in RMB (If quoting a tax-exempt price, it must be specifically marked; if the tax exemption is impossible, all taxes and fees shall be borne by the </w:t>
            </w:r>
            <w:r>
              <w:rPr>
                <w:rFonts w:hint="default" w:ascii="Times New Roman" w:hAnsi="Times New Roman" w:cs="Times New Roman" w:eastAsiaTheme="minorEastAsia"/>
                <w:color w:val="auto"/>
                <w:kern w:val="2"/>
                <w:sz w:val="21"/>
                <w:szCs w:val="22"/>
                <w:highlight w:val="none"/>
                <w:lang w:val="en-US" w:eastAsia="zh-CN" w:bidi="ar-SA"/>
              </w:rPr>
              <w:t>Purchaser</w:t>
            </w:r>
            <w:r>
              <w:rPr>
                <w:rFonts w:hint="default" w:ascii="Times New Roman" w:hAnsi="Times New Roman" w:cs="Times New Roman"/>
                <w:highlight w:val="none"/>
              </w:rPr>
              <w:t>). Any bid that does not explicitly state a tax-exempt price in RMB shall be executed as a tax-inclusive price in RMB by default. The bid price shall be a lump-sum price, encompassing all costs incurred for purchase of the goods and after-sales services. This includes, but is not limited to: the cost of the goods; spare parts and accompanying tools; supporting documentation fees; packaging, transportation, and insurance (both domestic and overseas); loading and unloading; installation and commissioning costs; installation materials; reagents and consumables required for acceptance inspection; acceptance inspection fees charged by mandatory third-party supervision and inspection agencies; technical services and training; inspection; replacement and repair of equipment and components due to failures during the warranty period; return freight (both domestic and overseas); foreign trade agency fees; miscellaneous fees; import procedures costs; various labor costs; and all other expenses. If the goods also include software products, the lump-sum price shall likewise encompass all costs associated with the software, including but not limited to: the full purchase price of the software; costs for software encryption devices (dongles), upgrade service packages, and patches; software installation and commissioning fees; software user training fees; and various software after-sales service fees. Except for the expenses explicitly stipulated in this project, the tenderee shall not be liable for any additional costs or bear any additional obligations. The aforementioned price and all associated terms shall remain unchanged throughout the performance of this project, unless modified by mutual written agreement between both parties.The winning bid price (contract price) is the RMB amount quoted by the bidder.</w:t>
            </w:r>
          </w:p>
          <w:p w14:paraId="06C9CE01">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rPr>
              <w:t>If the project needs to use foreign currency for settlement, the real-time exchange rate of RMB against foreign exchange published by the Bank of China on the payment date shall be used as the settlement exchange rate, and the exchange rate risk shall be borne by the bid winner.</w:t>
            </w:r>
          </w:p>
          <w:p w14:paraId="55051B6A">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rPr>
              <w:t>Notes:</w:t>
            </w:r>
          </w:p>
          <w:p w14:paraId="23A1A1A5">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lang w:val="en-US" w:eastAsia="zh-CN"/>
              </w:rPr>
              <w:t>1</w:t>
            </w:r>
            <w:r>
              <w:rPr>
                <w:rFonts w:hint="default" w:ascii="Times New Roman" w:hAnsi="Times New Roman" w:cs="Times New Roman"/>
                <w:highlight w:val="none"/>
              </w:rPr>
              <w:t>) In accordance with relevant national laws and regulations, if the bid products are ineligible for duty-free importation, a tax-inclusive price in RMB shall be quoted. When quoting a duty-free price for imported products, any domestically supplied portions must be marked as tax-inclusive prices on the bidding subitem quotation form. Valid invoices issued by the tax authority must be provided at the time of payment; otherwise, payment for said portion will not be disbursed.</w:t>
            </w:r>
          </w:p>
          <w:p w14:paraId="18F68CED">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lang w:val="en-US" w:eastAsia="zh-CN"/>
              </w:rPr>
              <w:t>2</w:t>
            </w:r>
            <w:r>
              <w:rPr>
                <w:rFonts w:hint="default" w:ascii="Times New Roman" w:hAnsi="Times New Roman" w:cs="Times New Roman"/>
                <w:highlight w:val="none"/>
              </w:rPr>
              <w:t>)During the transition period of the duty-free policy, the costs of customs clearance using bank guarantees, letters of guarantee, or insurance shall be borne by the bid winner.</w:t>
            </w:r>
          </w:p>
          <w:p w14:paraId="5C6B2A40">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rPr>
              <w:t xml:space="preserve">Foreign trade agency fee standard: Charge according to the tiered pricing.           </w:t>
            </w:r>
          </w:p>
          <w:tbl>
            <w:tblPr>
              <w:tblStyle w:val="15"/>
              <w:tblW w:w="2798" w:type="pct"/>
              <w:jc w:val="center"/>
              <w:tblLayout w:type="fixed"/>
              <w:tblCellMar>
                <w:top w:w="0" w:type="dxa"/>
                <w:left w:w="30" w:type="dxa"/>
                <w:bottom w:w="0" w:type="dxa"/>
                <w:right w:w="30" w:type="dxa"/>
              </w:tblCellMar>
            </w:tblPr>
            <w:tblGrid>
              <w:gridCol w:w="2437"/>
              <w:gridCol w:w="1704"/>
            </w:tblGrid>
            <w:tr w14:paraId="387398EA">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vAlign w:val="center"/>
                </w:tcPr>
                <w:p w14:paraId="6A6D43E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Contract amount (RMB)</w:t>
                  </w:r>
                </w:p>
              </w:tc>
              <w:tc>
                <w:tcPr>
                  <w:tcW w:w="2057" w:type="pct"/>
                  <w:tcBorders>
                    <w:top w:val="single" w:color="auto" w:sz="6" w:space="0"/>
                    <w:left w:val="single" w:color="auto" w:sz="6" w:space="0"/>
                    <w:bottom w:val="single" w:color="auto" w:sz="6" w:space="0"/>
                    <w:right w:val="single" w:color="auto" w:sz="6" w:space="0"/>
                  </w:tcBorders>
                  <w:shd w:val="clear" w:color="auto" w:fill="FFFFFF"/>
                  <w:vAlign w:val="center"/>
                </w:tcPr>
                <w:p w14:paraId="6A19EC4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Agency rate (%)</w:t>
                  </w:r>
                </w:p>
              </w:tc>
            </w:tr>
            <w:tr w14:paraId="16308BE7">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vAlign w:val="center"/>
                </w:tcPr>
                <w:p w14:paraId="2969E2D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Less than RMB 1 million</w:t>
                  </w:r>
                </w:p>
              </w:tc>
              <w:tc>
                <w:tcPr>
                  <w:tcW w:w="2057" w:type="pct"/>
                  <w:tcBorders>
                    <w:top w:val="single" w:color="auto" w:sz="6" w:space="0"/>
                    <w:left w:val="single" w:color="auto" w:sz="6" w:space="0"/>
                    <w:bottom w:val="single" w:color="auto" w:sz="6" w:space="0"/>
                    <w:right w:val="single" w:color="auto" w:sz="6" w:space="0"/>
                  </w:tcBorders>
                  <w:shd w:val="clear" w:color="auto" w:fill="FFFFFF"/>
                  <w:vAlign w:val="center"/>
                </w:tcPr>
                <w:p w14:paraId="0040189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highlight w:val="none"/>
                    </w:rPr>
                  </w:pPr>
                  <w:r>
                    <w:rPr>
                      <w:rFonts w:hint="default" w:ascii="Times New Roman" w:hAnsi="Times New Roman" w:cs="Times New Roman"/>
                      <w:highlight w:val="none"/>
                    </w:rPr>
                    <w:t>1</w:t>
                  </w:r>
                </w:p>
              </w:tc>
            </w:tr>
            <w:tr w14:paraId="0C01864A">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vAlign w:val="center"/>
                </w:tcPr>
                <w:p w14:paraId="20A13DA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RMB 1-3 million</w:t>
                  </w:r>
                </w:p>
              </w:tc>
              <w:tc>
                <w:tcPr>
                  <w:tcW w:w="2057" w:type="pct"/>
                  <w:tcBorders>
                    <w:top w:val="single" w:color="auto" w:sz="6" w:space="0"/>
                    <w:left w:val="single" w:color="auto" w:sz="6" w:space="0"/>
                    <w:bottom w:val="single" w:color="auto" w:sz="6" w:space="0"/>
                    <w:right w:val="single" w:color="auto" w:sz="6" w:space="0"/>
                  </w:tcBorders>
                  <w:shd w:val="clear" w:color="auto" w:fill="FFFFFF"/>
                  <w:vAlign w:val="center"/>
                </w:tcPr>
                <w:p w14:paraId="0E2E49B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0.9</w:t>
                  </w:r>
                </w:p>
              </w:tc>
            </w:tr>
            <w:tr w14:paraId="533418F2">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vAlign w:val="center"/>
                </w:tcPr>
                <w:p w14:paraId="35F5518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RMB 3-5 million</w:t>
                  </w:r>
                </w:p>
              </w:tc>
              <w:tc>
                <w:tcPr>
                  <w:tcW w:w="2057" w:type="pct"/>
                  <w:tcBorders>
                    <w:top w:val="single" w:color="auto" w:sz="6" w:space="0"/>
                    <w:left w:val="single" w:color="auto" w:sz="6" w:space="0"/>
                    <w:bottom w:val="single" w:color="auto" w:sz="6" w:space="0"/>
                    <w:right w:val="single" w:color="auto" w:sz="6" w:space="0"/>
                  </w:tcBorders>
                  <w:shd w:val="clear" w:color="auto" w:fill="FFFFFF"/>
                  <w:vAlign w:val="center"/>
                </w:tcPr>
                <w:p w14:paraId="23F45B1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0.8</w:t>
                  </w:r>
                </w:p>
              </w:tc>
            </w:tr>
            <w:tr w14:paraId="11983AD2">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vAlign w:val="center"/>
                </w:tcPr>
                <w:p w14:paraId="45B063A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RMB 5-10 million</w:t>
                  </w:r>
                </w:p>
              </w:tc>
              <w:tc>
                <w:tcPr>
                  <w:tcW w:w="2057" w:type="pct"/>
                  <w:tcBorders>
                    <w:top w:val="single" w:color="auto" w:sz="6" w:space="0"/>
                    <w:left w:val="single" w:color="auto" w:sz="6" w:space="0"/>
                    <w:bottom w:val="single" w:color="auto" w:sz="6" w:space="0"/>
                    <w:right w:val="single" w:color="auto" w:sz="6" w:space="0"/>
                  </w:tcBorders>
                  <w:shd w:val="clear" w:color="auto" w:fill="FFFFFF"/>
                  <w:vAlign w:val="center"/>
                </w:tcPr>
                <w:p w14:paraId="72E46CD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0.6</w:t>
                  </w:r>
                </w:p>
              </w:tc>
            </w:tr>
            <w:tr w14:paraId="5CB6ABB8">
              <w:tblPrEx>
                <w:tblCellMar>
                  <w:top w:w="0" w:type="dxa"/>
                  <w:left w:w="30" w:type="dxa"/>
                  <w:bottom w:w="0" w:type="dxa"/>
                  <w:right w:w="30" w:type="dxa"/>
                </w:tblCellMar>
              </w:tblPrEx>
              <w:trPr>
                <w:trHeight w:val="397" w:hRule="atLeast"/>
                <w:jc w:val="center"/>
              </w:trPr>
              <w:tc>
                <w:tcPr>
                  <w:tcW w:w="2942" w:type="pct"/>
                  <w:tcBorders>
                    <w:top w:val="single" w:color="auto" w:sz="6" w:space="0"/>
                    <w:left w:val="single" w:color="auto" w:sz="6" w:space="0"/>
                    <w:bottom w:val="single" w:color="auto" w:sz="6" w:space="0"/>
                    <w:right w:val="single" w:color="auto" w:sz="6" w:space="0"/>
                  </w:tcBorders>
                  <w:shd w:val="clear" w:color="auto" w:fill="FFFFFF"/>
                  <w:vAlign w:val="center"/>
                </w:tcPr>
                <w:p w14:paraId="2246BBD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More than RMB 10 million</w:t>
                  </w:r>
                </w:p>
              </w:tc>
              <w:tc>
                <w:tcPr>
                  <w:tcW w:w="2057" w:type="pct"/>
                  <w:tcBorders>
                    <w:top w:val="single" w:color="auto" w:sz="6" w:space="0"/>
                    <w:left w:val="single" w:color="auto" w:sz="6" w:space="0"/>
                    <w:bottom w:val="single" w:color="auto" w:sz="6" w:space="0"/>
                    <w:right w:val="single" w:color="auto" w:sz="6" w:space="0"/>
                  </w:tcBorders>
                  <w:shd w:val="clear" w:color="auto" w:fill="FFFFFF"/>
                  <w:vAlign w:val="center"/>
                </w:tcPr>
                <w:p w14:paraId="18086B9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highlight w:val="none"/>
                    </w:rPr>
                  </w:pPr>
                  <w:r>
                    <w:rPr>
                      <w:rFonts w:hint="default" w:ascii="Times New Roman" w:hAnsi="Times New Roman" w:cs="Times New Roman"/>
                      <w:highlight w:val="none"/>
                    </w:rPr>
                    <w:t>0.4</w:t>
                  </w:r>
                </w:p>
              </w:tc>
            </w:tr>
          </w:tbl>
          <w:p w14:paraId="1DB507E3">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highlight w:val="none"/>
              </w:rPr>
            </w:pPr>
          </w:p>
          <w:p w14:paraId="16FAB0FD">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Times New Roman" w:hAnsi="Times New Roman" w:cs="Times New Roman"/>
                <w:highlight w:val="none"/>
              </w:rPr>
            </w:pPr>
            <w:r>
              <w:rPr>
                <w:rFonts w:hint="default" w:ascii="Times New Roman" w:hAnsi="Times New Roman" w:cs="Times New Roman"/>
                <w:highlight w:val="none"/>
              </w:rPr>
              <w:t>Completion of the Bid Itemized Quotation Form</w:t>
            </w:r>
            <w:r>
              <w:rPr>
                <w:rFonts w:hint="default" w:ascii="Times New Roman" w:hAnsi="Times New Roman" w:cs="Times New Roman"/>
                <w:highlight w:val="none"/>
                <w:lang w:val="en-US" w:eastAsia="zh-CN"/>
              </w:rPr>
              <w:t>:</w:t>
            </w:r>
            <w:r>
              <w:rPr>
                <w:rFonts w:hint="default" w:ascii="Times New Roman" w:hAnsi="Times New Roman" w:cs="Times New Roman"/>
                <w:highlight w:val="none"/>
              </w:rPr>
              <w:t>(for Bids with Overseas Supply)</w:t>
            </w:r>
            <w:r>
              <w:rPr>
                <w:rFonts w:hint="default" w:ascii="Times New Roman" w:hAnsi="Times New Roman" w:cs="Times New Roman"/>
                <w:highlight w:val="none"/>
                <w:lang w:val="en-US" w:eastAsia="zh-CN"/>
              </w:rPr>
              <w:t>, f</w:t>
            </w:r>
            <w:r>
              <w:rPr>
                <w:rFonts w:hint="default" w:ascii="Times New Roman" w:hAnsi="Times New Roman" w:cs="Times New Roman"/>
                <w:highlight w:val="none"/>
              </w:rPr>
              <w:t xml:space="preserve">ill in the form in accordance with </w:t>
            </w:r>
            <w:r>
              <w:rPr>
                <w:rFonts w:hint="default" w:ascii="Times New Roman" w:hAnsi="Times New Roman" w:cs="Times New Roman"/>
                <w:highlight w:val="none"/>
                <w:lang w:val="en-US" w:eastAsia="zh-CN"/>
              </w:rPr>
              <w:t>the f</w:t>
            </w:r>
            <w:r>
              <w:rPr>
                <w:rFonts w:hint="default" w:ascii="Times New Roman" w:hAnsi="Times New Roman" w:cs="Times New Roman"/>
                <w:highlight w:val="none"/>
              </w:rPr>
              <w:t>orm</w:t>
            </w:r>
            <w:r>
              <w:rPr>
                <w:rFonts w:hint="default" w:ascii="Times New Roman" w:hAnsi="Times New Roman" w:cs="Times New Roman"/>
                <w:highlight w:val="none"/>
                <w:lang w:val="en-US" w:eastAsia="zh-CN"/>
              </w:rPr>
              <w:t>at of</w:t>
            </w:r>
            <w:r>
              <w:rPr>
                <w:rFonts w:hint="default" w:ascii="Times New Roman" w:hAnsi="Times New Roman" w:cs="Times New Roman"/>
                <w:highlight w:val="none"/>
              </w:rPr>
              <w:t xml:space="preserve"> IV-3-2 Bid Itemized Quotation Form (for Bids with Overseas Supply) specified in the Volume II</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rPr>
              <w:t>bidding documents.</w:t>
            </w:r>
          </w:p>
        </w:tc>
      </w:tr>
      <w:tr w14:paraId="76FA44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61" w:hRule="atLeast"/>
        </w:trPr>
        <w:tc>
          <w:tcPr>
            <w:tcW w:w="540" w:type="pct"/>
            <w:vAlign w:val="center"/>
          </w:tcPr>
          <w:p w14:paraId="24E69FA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*12.1</w:t>
            </w:r>
          </w:p>
        </w:tc>
        <w:tc>
          <w:tcPr>
            <w:tcW w:w="4459" w:type="pct"/>
            <w:vAlign w:val="center"/>
          </w:tcPr>
          <w:p w14:paraId="74F474C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Bidding currency: RMB quoted by the bidder under item 11.6.1.</w:t>
            </w:r>
          </w:p>
        </w:tc>
      </w:tr>
      <w:tr w14:paraId="7C7A71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61" w:hRule="atLeast"/>
        </w:trPr>
        <w:tc>
          <w:tcPr>
            <w:tcW w:w="540" w:type="pct"/>
            <w:vAlign w:val="center"/>
          </w:tcPr>
          <w:p w14:paraId="44E2A18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*12.2</w:t>
            </w:r>
          </w:p>
        </w:tc>
        <w:tc>
          <w:tcPr>
            <w:tcW w:w="4459" w:type="pct"/>
            <w:vAlign w:val="center"/>
          </w:tcPr>
          <w:p w14:paraId="5DEE909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Bidding currency: RMB quoted by the bidder under item 11.6.2.</w:t>
            </w:r>
          </w:p>
        </w:tc>
      </w:tr>
      <w:tr w14:paraId="5C7FE1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21" w:hRule="atLeast"/>
        </w:trPr>
        <w:tc>
          <w:tcPr>
            <w:tcW w:w="540" w:type="pct"/>
            <w:vAlign w:val="center"/>
          </w:tcPr>
          <w:p w14:paraId="34E5A12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*13.1</w:t>
            </w:r>
          </w:p>
        </w:tc>
        <w:tc>
          <w:tcPr>
            <w:tcW w:w="4459" w:type="pct"/>
            <w:vAlign w:val="center"/>
          </w:tcPr>
          <w:p w14:paraId="3F8AF61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The joint bidding is not allowed to bid for this project. Otherwise, the bidding will be rejected.</w:t>
            </w:r>
          </w:p>
        </w:tc>
      </w:tr>
      <w:tr w14:paraId="7C6EC4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3488" w:hRule="atLeast"/>
        </w:trPr>
        <w:tc>
          <w:tcPr>
            <w:tcW w:w="540" w:type="pct"/>
            <w:vAlign w:val="center"/>
          </w:tcPr>
          <w:p w14:paraId="043BD5F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*13.3</w:t>
            </w:r>
          </w:p>
        </w:tc>
        <w:tc>
          <w:tcPr>
            <w:tcW w:w="4459" w:type="pct"/>
            <w:vAlign w:val="center"/>
          </w:tcPr>
          <w:p w14:paraId="1D584F5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snapToGrid w:val="0"/>
              </w:rPr>
            </w:pPr>
            <w:bookmarkStart w:id="11" w:name="OLE_LINK15"/>
            <w:bookmarkStart w:id="12" w:name="OLE_LINK14"/>
            <w:r>
              <w:rPr>
                <w:rFonts w:hint="default" w:ascii="Times New Roman" w:hAnsi="Times New Roman" w:cs="Times New Roman"/>
                <w:b/>
                <w:bCs/>
                <w:snapToGrid w:val="0"/>
              </w:rPr>
              <w:t>Eligibility Requirements:</w:t>
            </w:r>
          </w:p>
          <w:bookmarkEnd w:id="11"/>
          <w:bookmarkEnd w:id="12"/>
          <w:p w14:paraId="25E3E23F">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If the bidder is a legal person or an independent organization (If the bidder is a domestic supplier in the People's Republic of China, it shall provide a copy of the business license; If it is a foreign supplier, it shall provide a copy of the official business registration certificate of its country or region);</w:t>
            </w:r>
          </w:p>
          <w:p w14:paraId="3ABD141C">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This project accepts the bidding of imported products, and also encourages domestic products to participate in the bidding: If the product is imported, the bidder must be the manufacturer or legal agent or legally authorized supplier of the product (provide relevant proof scan); If the product is a domestic product (non-imported product), the bidder does not need to provide proof that it is the manufacturer or legal agent or legally authorized supplier of the product;</w:t>
            </w:r>
          </w:p>
          <w:p w14:paraId="257C4F40">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The bidder shall provide documents proving that it has the financial, technical and production capacity required for the performance of the Contract;</w:t>
            </w:r>
          </w:p>
          <w:p w14:paraId="3D1ACA84">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cs="Times New Roman"/>
                <w:b/>
                <w:bCs/>
                <w:color w:val="000000" w:themeColor="text1"/>
                <w:szCs w:val="24"/>
                <w14:textFill>
                  <w14:solidFill>
                    <w14:schemeClr w14:val="tx1"/>
                  </w14:solidFill>
                </w14:textFill>
              </w:rPr>
            </w:pPr>
            <w:r>
              <w:rPr>
                <w:rFonts w:hint="default" w:ascii="Times New Roman" w:hAnsi="Times New Roman" w:cs="Times New Roman"/>
                <w:b/>
                <w:bCs/>
              </w:rPr>
              <w:t>The original credit certificate issued by the bidder's basic account opening bank within three months before the bid opening date or the copy of the original;</w:t>
            </w:r>
          </w:p>
          <w:p w14:paraId="4CBDA488">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If the bidder is a domestic supplier, it must meet the following conditions: Within three years before participating in the bidding of this project, there is no major illegal record in business activities; There is no situation that is prohibited by relevant departments from participating in government procurement activities and within the validity period when participating in government procurement activities of this project; Have the conditions of the first paragraph of Article 22 of the Government Procurement Law of the People's Republic of China; Have not been included in the list of breach of the person subjected to execution, the list of parties to major tax violations, and the list of records of serious violations of government procurement. (Provide a written statement in accordance with the format and contents of tender document Format IV-10. Statement Letter)</w:t>
            </w:r>
          </w:p>
          <w:p w14:paraId="0280CF8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Note: </w:t>
            </w:r>
            <w:r>
              <w:rPr>
                <w:rFonts w:hint="default" w:ascii="Times New Roman" w:hAnsi="Times New Roman" w:cs="Times New Roman"/>
                <w:b/>
                <w:bCs/>
                <w:lang w:val="en-US" w:eastAsia="zh-CN"/>
              </w:rPr>
              <w:t>"</w:t>
            </w:r>
            <w:r>
              <w:rPr>
                <w:rFonts w:hint="default" w:ascii="Times New Roman" w:hAnsi="Times New Roman" w:cs="Times New Roman"/>
                <w:b/>
                <w:bCs/>
              </w:rPr>
              <w:t>Credit China</w:t>
            </w:r>
            <w:r>
              <w:rPr>
                <w:rFonts w:hint="default" w:ascii="Times New Roman" w:hAnsi="Times New Roman" w:cs="Times New Roman"/>
                <w:b/>
                <w:bCs/>
                <w:lang w:val="en-US" w:eastAsia="zh-CN"/>
              </w:rPr>
              <w:t>","</w:t>
            </w:r>
            <w:r>
              <w:rPr>
                <w:rFonts w:hint="default" w:ascii="Times New Roman" w:hAnsi="Times New Roman" w:cs="Times New Roman"/>
                <w:b/>
                <w:bCs/>
              </w:rPr>
              <w:t>Chinese Government Procurement Network</w:t>
            </w:r>
            <w:r>
              <w:rPr>
                <w:rFonts w:hint="default" w:ascii="Times New Roman" w:hAnsi="Times New Roman" w:cs="Times New Roman"/>
                <w:b/>
                <w:bCs/>
                <w:lang w:val="en-US" w:eastAsia="zh-CN"/>
              </w:rPr>
              <w:t>",</w:t>
            </w:r>
            <w:r>
              <w:rPr>
                <w:rFonts w:hint="default" w:ascii="Times New Roman" w:hAnsi="Times New Roman" w:cs="Times New Roman"/>
                <w:b/>
                <w:bCs/>
              </w:rPr>
              <w:t xml:space="preserve"> and "Shenzhen Municipal Government Procurement Supervision Network" are the channels for inquiring about the credit information of domestic suppliers, and the relevant information is subject to the inquiry results on the day of bid opening;</w:t>
            </w:r>
          </w:p>
          <w:p w14:paraId="4DCEA7FF">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Bidders participating in the international bidding must register on the BidLink (https: / / www.ebnew.com) or the electronic trading platform for bidding and tendering of electromechanical products (https: / / www.chinabidding.com);</w:t>
            </w:r>
          </w:p>
          <w:p w14:paraId="323FB3D3">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highlight w:val="none"/>
              </w:rPr>
            </w:pPr>
            <w:r>
              <w:rPr>
                <w:rFonts w:hint="default" w:ascii="Times New Roman" w:hAnsi="Times New Roman" w:cs="Times New Roman"/>
                <w:b/>
                <w:bCs/>
              </w:rPr>
              <w:t>The domestic bidder mus</w:t>
            </w:r>
            <w:r>
              <w:rPr>
                <w:rFonts w:hint="default" w:ascii="Times New Roman" w:hAnsi="Times New Roman" w:cs="Times New Roman"/>
                <w:b/>
                <w:bCs/>
                <w:highlight w:val="none"/>
              </w:rPr>
              <w:t>t be the supplier registered by Shenzhen Municipal Government for procurement; (It is inquired by the tendering agency, and the bidder does not need to provide proof materials).</w:t>
            </w:r>
          </w:p>
          <w:p w14:paraId="7A8DB2AE">
            <w:pPr>
              <w:pStyle w:val="33"/>
              <w:keepNext w:val="0"/>
              <w:keepLines w:val="0"/>
              <w:pageBreakBefore w:val="0"/>
              <w:widowControl/>
              <w:numPr>
                <w:ilvl w:val="0"/>
                <w:numId w:val="8"/>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cs="Times New Roman"/>
                <w:b/>
                <w:bCs/>
              </w:rPr>
            </w:pPr>
            <w:r>
              <w:rPr>
                <w:rFonts w:hint="default" w:ascii="Times New Roman" w:hAnsi="Times New Roman" w:eastAsia="宋体" w:cs="Times New Roman"/>
                <w:b/>
                <w:bCs/>
                <w:szCs w:val="24"/>
                <w:highlight w:val="none"/>
              </w:rPr>
              <w:t xml:space="preserve">This project does not accept </w:t>
            </w:r>
            <w:r>
              <w:rPr>
                <w:rFonts w:hint="default" w:ascii="Times New Roman" w:hAnsi="Times New Roman" w:eastAsia="宋体" w:cs="Times New Roman"/>
                <w:b/>
                <w:bCs/>
                <w:szCs w:val="24"/>
                <w:highlight w:val="none"/>
                <w:lang w:eastAsia="zh-CN"/>
              </w:rPr>
              <w:t>joint bidding, and subcontracting or contract transferring is not allowed</w:t>
            </w:r>
            <w:r>
              <w:rPr>
                <w:rFonts w:hint="default" w:ascii="Times New Roman" w:hAnsi="Times New Roman" w:eastAsia="宋体" w:cs="Times New Roman"/>
                <w:b/>
                <w:bCs/>
                <w:szCs w:val="24"/>
                <w:highlight w:val="none"/>
              </w:rPr>
              <w:t>.</w:t>
            </w:r>
          </w:p>
        </w:tc>
      </w:tr>
      <w:tr w14:paraId="200686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6A42494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14.1</w:t>
            </w:r>
          </w:p>
        </w:tc>
        <w:tc>
          <w:tcPr>
            <w:tcW w:w="4459" w:type="pct"/>
            <w:vAlign w:val="center"/>
          </w:tcPr>
          <w:p w14:paraId="73E49E0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Requirements for documents certifying the conformity of the goods: See the “Instructions to Bidders” in Volume 1 for details</w:t>
            </w:r>
          </w:p>
        </w:tc>
      </w:tr>
      <w:tr w14:paraId="048D14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540" w:type="pct"/>
            <w:vAlign w:val="center"/>
          </w:tcPr>
          <w:p w14:paraId="742D438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15.1</w:t>
            </w:r>
          </w:p>
        </w:tc>
        <w:tc>
          <w:tcPr>
            <w:tcW w:w="4459" w:type="pct"/>
            <w:vAlign w:val="center"/>
          </w:tcPr>
          <w:p w14:paraId="488A1FE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Amount of bid bond: No bid bond is required for this project </w:t>
            </w:r>
          </w:p>
        </w:tc>
      </w:tr>
      <w:tr w14:paraId="58094D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65" w:hRule="atLeast"/>
        </w:trPr>
        <w:tc>
          <w:tcPr>
            <w:tcW w:w="540" w:type="pct"/>
            <w:vAlign w:val="center"/>
          </w:tcPr>
          <w:p w14:paraId="7B98068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*16.1</w:t>
            </w:r>
          </w:p>
        </w:tc>
        <w:tc>
          <w:tcPr>
            <w:tcW w:w="4459" w:type="pct"/>
            <w:vAlign w:val="center"/>
          </w:tcPr>
          <w:p w14:paraId="5B7D4CF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Bidding validity period: 90 days from the deadline for submission of bidding documents</w:t>
            </w:r>
          </w:p>
        </w:tc>
      </w:tr>
      <w:tr w14:paraId="78309B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540" w:type="pct"/>
            <w:vAlign w:val="center"/>
          </w:tcPr>
          <w:p w14:paraId="09CA9C7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17.1</w:t>
            </w:r>
          </w:p>
        </w:tc>
        <w:tc>
          <w:tcPr>
            <w:tcW w:w="4459" w:type="pct"/>
            <w:vAlign w:val="center"/>
          </w:tcPr>
          <w:p w14:paraId="7471EC0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Quantity of bidding documents: 1 original, </w:t>
            </w:r>
            <w:r>
              <w:rPr>
                <w:rFonts w:hint="default" w:ascii="Times New Roman" w:hAnsi="Times New Roman" w:cs="Times New Roman"/>
                <w:lang w:val="en-US" w:eastAsia="zh-CN"/>
              </w:rPr>
              <w:t>5</w:t>
            </w:r>
            <w:r>
              <w:rPr>
                <w:rFonts w:hint="default" w:ascii="Times New Roman" w:hAnsi="Times New Roman" w:cs="Times New Roman"/>
              </w:rPr>
              <w:t xml:space="preserve"> copies, 1 electronic document of USB flash disk or CD provided with bidding documents, sealed and submitted.</w:t>
            </w:r>
          </w:p>
        </w:tc>
      </w:tr>
      <w:tr w14:paraId="6CED3F5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53" w:hRule="atLeast"/>
        </w:trPr>
        <w:tc>
          <w:tcPr>
            <w:tcW w:w="540" w:type="pct"/>
            <w:vAlign w:val="center"/>
          </w:tcPr>
          <w:p w14:paraId="1A4692E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*17.2</w:t>
            </w:r>
          </w:p>
        </w:tc>
        <w:tc>
          <w:tcPr>
            <w:tcW w:w="4459" w:type="pct"/>
            <w:vAlign w:val="center"/>
          </w:tcPr>
          <w:p w14:paraId="0C40DAE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Signature of bidding documents: The original of bidding documents shall be printed or written in indelible ink, and each page shall be signed by the person in charge of the unit or its duly authorized representative with surname or initials. Any interline insertion, alteration, addition or deletion shall be valid only after being signed by the signatory of the bidding document.</w:t>
            </w:r>
          </w:p>
        </w:tc>
      </w:tr>
      <w:tr w14:paraId="1DBBF8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53" w:hRule="atLeast"/>
        </w:trPr>
        <w:tc>
          <w:tcPr>
            <w:tcW w:w="5000" w:type="pct"/>
            <w:gridSpan w:val="2"/>
            <w:vAlign w:val="center"/>
          </w:tcPr>
          <w:p w14:paraId="08F98AF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b/>
                <w:bCs/>
              </w:rPr>
              <w:t>Sealing and marking of bidding documents</w:t>
            </w:r>
          </w:p>
        </w:tc>
      </w:tr>
      <w:tr w14:paraId="1AE1BB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53" w:hRule="atLeast"/>
        </w:trPr>
        <w:tc>
          <w:tcPr>
            <w:tcW w:w="540" w:type="pct"/>
            <w:vAlign w:val="center"/>
          </w:tcPr>
          <w:p w14:paraId="20D5CF5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18.1</w:t>
            </w:r>
          </w:p>
        </w:tc>
        <w:tc>
          <w:tcPr>
            <w:tcW w:w="4459" w:type="pct"/>
            <w:vAlign w:val="center"/>
          </w:tcPr>
          <w:p w14:paraId="7C1D893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The bidding documents shall include the summary sheet for bid opening. In order to facilitate the bid announcement at the time of bid opening, the bidder shall also submit the summary sheet for bid opening and bid bond separately, and mark the words "Summary Sheet for Bid Opening" on the envelope. The bidder shall state that “no opening shall be made before the bid opening date and time”. The bidder shall seal the original and all copies of the bidding documents in separate envelopes, and mark "Original" and "Copy" on the envelopes. The bidder shall then enclose all envelopes in an outer envelope. The tenderee will reject the tender document that are not sealed according to the requirements of the Tender Document.</w:t>
            </w:r>
          </w:p>
        </w:tc>
      </w:tr>
      <w:tr w14:paraId="56224E8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87" w:hRule="atLeast"/>
        </w:trPr>
        <w:tc>
          <w:tcPr>
            <w:tcW w:w="540" w:type="pct"/>
            <w:vAlign w:val="center"/>
          </w:tcPr>
          <w:p w14:paraId="3967F76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18.2</w:t>
            </w:r>
          </w:p>
        </w:tc>
        <w:tc>
          <w:tcPr>
            <w:tcW w:w="4459" w:type="pct"/>
            <w:vAlign w:val="center"/>
          </w:tcPr>
          <w:p w14:paraId="5CDEAD9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Delivery place of bidding documents: Shenzhen Donghai International Tendering Co., Ltd. Guangming Branch, Room </w:t>
            </w:r>
            <w:r>
              <w:rPr>
                <w:rFonts w:hint="default" w:ascii="Times New Roman" w:hAnsi="Times New Roman" w:cs="Times New Roman"/>
                <w:color w:val="333333"/>
                <w:shd w:val="clear" w:color="auto" w:fill="FFFFFF"/>
              </w:rPr>
              <w:t>3105-06, 31st Floor, Building 1B, Lefu Plaza, No. 481</w:t>
            </w:r>
            <w:r>
              <w:rPr>
                <w:rFonts w:hint="default" w:ascii="Times New Roman" w:hAnsi="Times New Roman" w:cs="Times New Roman"/>
              </w:rPr>
              <w:t xml:space="preserve"> Guangming Avenue, Dongkeng Community, Fenghuang Subdistrict, Guangming District, Shenzhen.</w:t>
            </w:r>
          </w:p>
        </w:tc>
      </w:tr>
      <w:tr w14:paraId="3E53D6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7F7469E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19.1</w:t>
            </w:r>
          </w:p>
        </w:tc>
        <w:tc>
          <w:tcPr>
            <w:tcW w:w="4459" w:type="pct"/>
            <w:vAlign w:val="center"/>
          </w:tcPr>
          <w:p w14:paraId="3177778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Deadline for bidding: 09: 30 on </w:t>
            </w:r>
            <w:r>
              <w:rPr>
                <w:rFonts w:hint="eastAsia" w:ascii="Times New Roman" w:hAnsi="Times New Roman" w:cs="Times New Roman"/>
                <w:color w:val="FF0000"/>
                <w:lang w:val="en-US" w:eastAsia="zh-CN"/>
              </w:rPr>
              <w:t>July 3</w:t>
            </w:r>
            <w:r>
              <w:rPr>
                <w:rFonts w:hint="default" w:ascii="Times New Roman" w:hAnsi="Times New Roman" w:cs="Times New Roman"/>
                <w:color w:val="FF0000"/>
              </w:rPr>
              <w:t>, 2026</w:t>
            </w:r>
            <w:r>
              <w:rPr>
                <w:rFonts w:hint="default" w:ascii="Times New Roman" w:hAnsi="Times New Roman" w:cs="Times New Roman"/>
              </w:rPr>
              <w:t xml:space="preserve"> (Beijing time)</w:t>
            </w:r>
          </w:p>
        </w:tc>
      </w:tr>
      <w:tr w14:paraId="64E232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0ADFFD4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20</w:t>
            </w:r>
          </w:p>
        </w:tc>
        <w:tc>
          <w:tcPr>
            <w:tcW w:w="4459" w:type="pct"/>
            <w:vAlign w:val="center"/>
          </w:tcPr>
          <w:p w14:paraId="31A4B90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Late submission of bidding documents: the bidding documents submitted after the deadline will be rejected and returned unopened.</w:t>
            </w:r>
          </w:p>
        </w:tc>
      </w:tr>
      <w:tr w14:paraId="0F2C6C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000" w:type="pct"/>
            <w:gridSpan w:val="2"/>
            <w:vAlign w:val="center"/>
          </w:tcPr>
          <w:p w14:paraId="615C832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b/>
                <w:bCs/>
              </w:rPr>
              <w:t>Bid opening and evaluation</w:t>
            </w:r>
          </w:p>
        </w:tc>
      </w:tr>
      <w:tr w14:paraId="5E8B2C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11" w:hRule="atLeast"/>
        </w:trPr>
        <w:tc>
          <w:tcPr>
            <w:tcW w:w="540" w:type="pct"/>
            <w:vAlign w:val="center"/>
          </w:tcPr>
          <w:p w14:paraId="7F733F5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22.1</w:t>
            </w:r>
          </w:p>
        </w:tc>
        <w:tc>
          <w:tcPr>
            <w:tcW w:w="4459" w:type="pct"/>
            <w:vAlign w:val="center"/>
          </w:tcPr>
          <w:p w14:paraId="0FD9ABA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rPr>
            </w:pPr>
            <w:r>
              <w:rPr>
                <w:rFonts w:hint="default" w:ascii="Times New Roman" w:hAnsi="Times New Roman" w:cs="Times New Roman"/>
              </w:rPr>
              <w:t xml:space="preserve">Bid opening time: 09: 30 on </w:t>
            </w:r>
            <w:r>
              <w:rPr>
                <w:rFonts w:hint="eastAsia" w:ascii="Times New Roman" w:hAnsi="Times New Roman" w:cs="Times New Roman"/>
                <w:color w:val="FF0000"/>
                <w:lang w:val="en-US" w:eastAsia="zh-CN"/>
              </w:rPr>
              <w:t>July 3</w:t>
            </w:r>
            <w:r>
              <w:rPr>
                <w:rFonts w:hint="default" w:ascii="Times New Roman" w:hAnsi="Times New Roman" w:cs="Times New Roman"/>
                <w:color w:val="FF0000"/>
              </w:rPr>
              <w:t>, 2026</w:t>
            </w:r>
            <w:r>
              <w:rPr>
                <w:rFonts w:hint="default" w:ascii="Times New Roman" w:hAnsi="Times New Roman" w:cs="Times New Roman"/>
              </w:rPr>
              <w:t xml:space="preserve"> (Beijing time)</w:t>
            </w:r>
          </w:p>
          <w:p w14:paraId="757459A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Place of bid opening: Shenzhen Donghai International Tendering Co., Ltd. Guangming Branch, Room </w:t>
            </w:r>
            <w:r>
              <w:rPr>
                <w:rFonts w:hint="default" w:ascii="Times New Roman" w:hAnsi="Times New Roman" w:cs="Times New Roman"/>
                <w:color w:val="333333"/>
                <w:shd w:val="clear" w:color="auto" w:fill="FFFFFF"/>
              </w:rPr>
              <w:t>3105-06, 31st Floor, Building 1B, Lefu Plaza, No. 481</w:t>
            </w:r>
            <w:r>
              <w:rPr>
                <w:rFonts w:hint="default" w:ascii="Times New Roman" w:hAnsi="Times New Roman" w:cs="Times New Roman"/>
              </w:rPr>
              <w:t xml:space="preserve"> Guangming Avenue, Dongkeng Community, Fenghuang Subdistrict, Guangming District, Shenzhen.</w:t>
            </w:r>
          </w:p>
        </w:tc>
      </w:tr>
      <w:tr w14:paraId="39D7C2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3F744E9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23.1</w:t>
            </w:r>
          </w:p>
        </w:tc>
        <w:tc>
          <w:tcPr>
            <w:tcW w:w="4459" w:type="pct"/>
            <w:vAlign w:val="center"/>
          </w:tcPr>
          <w:p w14:paraId="600CFF0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Bid evaluation method: Comprehensive scoring method</w:t>
            </w:r>
            <w:r>
              <w:rPr>
                <w:rFonts w:hint="default" w:ascii="Times New Roman" w:hAnsi="Times New Roman" w:cs="Times New Roman"/>
                <w:lang w:val="en-US" w:eastAsia="zh-CN"/>
              </w:rPr>
              <w:t>.</w:t>
            </w:r>
          </w:p>
        </w:tc>
      </w:tr>
      <w:tr w14:paraId="680F34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2F991C7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*24</w:t>
            </w:r>
          </w:p>
        </w:tc>
        <w:tc>
          <w:tcPr>
            <w:tcW w:w="4459" w:type="pct"/>
            <w:vAlign w:val="center"/>
          </w:tcPr>
          <w:p w14:paraId="181B862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If one of the following valid documents is not provided during the compliance inspection, the bidding will be rejected:</w:t>
            </w:r>
          </w:p>
          <w:p w14:paraId="1740B318">
            <w:pPr>
              <w:pStyle w:val="33"/>
              <w:keepNext w:val="0"/>
              <w:keepLines w:val="0"/>
              <w:pageBreakBefore w:val="0"/>
              <w:widowControl/>
              <w:numPr>
                <w:ilvl w:val="0"/>
                <w:numId w:val="9"/>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Bidding documents</w:t>
            </w:r>
          </w:p>
          <w:p w14:paraId="42674669">
            <w:pPr>
              <w:pStyle w:val="33"/>
              <w:keepNext w:val="0"/>
              <w:keepLines w:val="0"/>
              <w:pageBreakBefore w:val="0"/>
              <w:widowControl/>
              <w:numPr>
                <w:ilvl w:val="0"/>
                <w:numId w:val="9"/>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Letter of authorization of person in charge</w:t>
            </w:r>
          </w:p>
          <w:p w14:paraId="6CA625C7">
            <w:pPr>
              <w:pStyle w:val="33"/>
              <w:keepNext w:val="0"/>
              <w:keepLines w:val="0"/>
              <w:pageBreakBefore w:val="0"/>
              <w:widowControl/>
              <w:numPr>
                <w:ilvl w:val="0"/>
                <w:numId w:val="9"/>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Qualification certificate</w:t>
            </w:r>
          </w:p>
          <w:p w14:paraId="24EB4439">
            <w:pPr>
              <w:pStyle w:val="33"/>
              <w:keepNext w:val="0"/>
              <w:keepLines w:val="0"/>
              <w:pageBreakBefore w:val="0"/>
              <w:widowControl/>
              <w:numPr>
                <w:ilvl w:val="0"/>
                <w:numId w:val="9"/>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Technical documents</w:t>
            </w:r>
          </w:p>
          <w:p w14:paraId="35691BCA">
            <w:pPr>
              <w:pStyle w:val="33"/>
              <w:keepNext w:val="0"/>
              <w:keepLines w:val="0"/>
              <w:pageBreakBefore w:val="0"/>
              <w:widowControl/>
              <w:numPr>
                <w:ilvl w:val="0"/>
                <w:numId w:val="9"/>
              </w:numPr>
              <w:suppressLineNumbers w:val="0"/>
              <w:kinsoku/>
              <w:wordWrap/>
              <w:overflowPunct/>
              <w:topLinePunct w:val="0"/>
              <w:bidi w:val="0"/>
              <w:snapToGrid/>
              <w:spacing w:before="0" w:beforeAutospacing="0" w:after="0" w:afterAutospacing="0" w:line="240" w:lineRule="auto"/>
              <w:ind w:right="0" w:firstLineChars="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Bidding subitem quotation form</w:t>
            </w:r>
          </w:p>
          <w:p w14:paraId="5097E0E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In the course of business review, the bidding shall be rejected in any of the following circumstances: </w:t>
            </w:r>
          </w:p>
          <w:p w14:paraId="50EAFEE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1) The bidder or its manufacturer has an interest in the tenderee that may affect the fairness of the tender; </w:t>
            </w:r>
          </w:p>
          <w:p w14:paraId="6E6103D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2) The bidder participates in the preliminary consultation of the project or the preparation of tender document; </w:t>
            </w:r>
          </w:p>
          <w:p w14:paraId="5CCF782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3) The person in charge of different bidders is the same person or has a holding or management relationship; </w:t>
            </w:r>
          </w:p>
          <w:p w14:paraId="0ACA63B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4) The tender document is not signed in accordance with the requirements of the Tender Document; </w:t>
            </w:r>
          </w:p>
          <w:p w14:paraId="2DFC573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5) The consortium for bids fails to submit the joint bidding agreement; </w:t>
            </w:r>
          </w:p>
          <w:p w14:paraId="54F4CD3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6) The bidder's bidding document and qualification certification materials are not provided, or do not meet the national regulations or the requirements of the tender document; </w:t>
            </w:r>
          </w:p>
          <w:p w14:paraId="67C7538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7) The same bidder submits two or more different bidding schemes or bidding quotations, except that the tender document requires the submission of alternative schemes; </w:t>
            </w:r>
          </w:p>
          <w:p w14:paraId="5FF5DCD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8) The bidder fails to submit the bid bond or the amount of the bond is insufficient, the validity period of the bond is insufficient, and the form of the bid bond or the bank issuing the bid bond does not meet the requirements of the tender document; </w:t>
            </w:r>
          </w:p>
          <w:p w14:paraId="397AD33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9) The tender document does not meet the requirements of the important commercial clauses marked with an asterisk (</w:t>
            </w:r>
            <w:r>
              <w:rPr>
                <w:rFonts w:hint="default" w:ascii="Times New Roman" w:hAnsi="Times New Roman" w:cs="Times New Roman"/>
                <w:b/>
                <w:bCs/>
                <w:lang w:val="en-US" w:eastAsia="zh-CN"/>
              </w:rPr>
              <w:t>"</w:t>
            </w:r>
            <w:r>
              <w:rPr>
                <w:rFonts w:hint="default" w:ascii="Times New Roman" w:hAnsi="Times New Roman" w:cs="Times New Roman"/>
                <w:b/>
                <w:bCs/>
              </w:rPr>
              <w:t>*</w:t>
            </w:r>
            <w:r>
              <w:rPr>
                <w:rFonts w:hint="default" w:ascii="Times New Roman" w:hAnsi="Times New Roman" w:cs="Times New Roman"/>
                <w:b/>
                <w:bCs/>
                <w:lang w:val="en-US" w:eastAsia="zh-CN"/>
              </w:rPr>
              <w:t>"</w:t>
            </w:r>
            <w:r>
              <w:rPr>
                <w:rFonts w:hint="default" w:ascii="Times New Roman" w:hAnsi="Times New Roman" w:cs="Times New Roman"/>
                <w:b/>
                <w:bCs/>
              </w:rPr>
              <w:t xml:space="preserve">) in the tender document; </w:t>
            </w:r>
          </w:p>
          <w:p w14:paraId="18B4137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10) The bid price is higher than the maximum bid price limit set in the tender document; </w:t>
            </w:r>
          </w:p>
          <w:p w14:paraId="2DF2746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11) The bid validity period is insufficient; </w:t>
            </w:r>
          </w:p>
          <w:p w14:paraId="0A6547C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12) The bidder commits illegal acts such as collusive tendering, fraud and bribery; </w:t>
            </w:r>
          </w:p>
          <w:p w14:paraId="43B46C2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13) There are other commercial clauses for rejecting the bid specified in the tender documents.</w:t>
            </w:r>
          </w:p>
          <w:p w14:paraId="5DBD8E2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In the course of technical review, the bidding shall be rejected in any of the following circumstances: </w:t>
            </w:r>
          </w:p>
          <w:p w14:paraId="62D45D2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highlight w:val="none"/>
              </w:rPr>
            </w:pPr>
            <w:r>
              <w:rPr>
                <w:rFonts w:hint="default" w:ascii="Times New Roman" w:hAnsi="Times New Roman" w:cs="Times New Roman"/>
                <w:b/>
                <w:bCs/>
              </w:rPr>
              <w:t>1) The tender document does not meet the requirements of important clauses (parameters) marked with an asterisk ("*") in the technical specifications of the Tender Document, or the important clauses (parameters) marked with an asterisk ("*") are not supporte</w:t>
            </w:r>
            <w:r>
              <w:rPr>
                <w:rFonts w:hint="default" w:ascii="Times New Roman" w:hAnsi="Times New Roman" w:cs="Times New Roman"/>
                <w:b/>
                <w:bCs/>
                <w:highlight w:val="none"/>
              </w:rPr>
              <w:t xml:space="preserve">d by the technical data that meet the requirements of the tender document; </w:t>
            </w:r>
          </w:p>
          <w:p w14:paraId="735A4AD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 w:val="24"/>
                <w:szCs w:val="24"/>
                <w:highlight w:val="none"/>
              </w:rPr>
            </w:pPr>
            <w:r>
              <w:rPr>
                <w:rFonts w:hint="default" w:ascii="Times New Roman" w:hAnsi="Times New Roman" w:cs="Times New Roman"/>
                <w:b/>
                <w:bCs/>
                <w:highlight w:val="none"/>
              </w:rPr>
              <w:t>2) The general parameters in the technical specifications of the bid documents exceed the maximum allowable deviation range or the maximum allowable number of deviation items;</w:t>
            </w:r>
          </w:p>
          <w:p w14:paraId="4EF7A1A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3) The response in the technical specifications of the bidding documents is inconsistent with the facts or false bidding; </w:t>
            </w:r>
          </w:p>
          <w:p w14:paraId="05B9167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4) The bidder copies the relevant part of the technical specification of the tender document as part of its bidding document; </w:t>
            </w:r>
          </w:p>
          <w:p w14:paraId="5BF0E04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 xml:space="preserve">5) There are other technical clauses for rejecting the bid specified in the tender documents. </w:t>
            </w:r>
          </w:p>
        </w:tc>
      </w:tr>
      <w:tr w14:paraId="67CC45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989" w:hRule="atLeast"/>
        </w:trPr>
        <w:tc>
          <w:tcPr>
            <w:tcW w:w="540" w:type="pct"/>
            <w:vAlign w:val="center"/>
          </w:tcPr>
          <w:p w14:paraId="7ED2316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*24.2</w:t>
            </w:r>
          </w:p>
        </w:tc>
        <w:tc>
          <w:tcPr>
            <w:tcW w:w="4459" w:type="pct"/>
            <w:vAlign w:val="center"/>
          </w:tcPr>
          <w:p w14:paraId="1E46077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Arithmetic errors will be corrected as follows:</w:t>
            </w:r>
          </w:p>
          <w:p w14:paraId="13F883A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In case of any discrepancy between the amount in words and the amount in figures in the bidding documents, the amount in words shall prevail; If the total bid price is inconsistent with the sum summarized according to the sub-item quotation, the calculation result of the sub-item quotation shall prevail; If the decimal point of the sub-item quotation is obviously wrong, the total bid price shall prevail, and the sub-item quotation shall be revised. If the bidder does not accept the correction of his arithmetic errors, its bidding will be rejected.</w:t>
            </w:r>
          </w:p>
        </w:tc>
      </w:tr>
      <w:tr w14:paraId="71AED8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481AEF5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*24.5</w:t>
            </w:r>
          </w:p>
        </w:tc>
        <w:tc>
          <w:tcPr>
            <w:tcW w:w="4459" w:type="pct"/>
            <w:vAlign w:val="center"/>
          </w:tcPr>
          <w:p w14:paraId="0C30307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Validity of bidding documents: Refer to 24.5 “Instructions to Bidders” in Volume 1 for details.</w:t>
            </w:r>
          </w:p>
        </w:tc>
      </w:tr>
      <w:tr w14:paraId="646A4C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7D1DED4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25.1</w:t>
            </w:r>
          </w:p>
        </w:tc>
        <w:tc>
          <w:tcPr>
            <w:tcW w:w="4459" w:type="pct"/>
            <w:vAlign w:val="center"/>
          </w:tcPr>
          <w:p w14:paraId="204C7F7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 w:val="24"/>
                <w:szCs w:val="24"/>
              </w:rPr>
            </w:pPr>
            <w:bookmarkStart w:id="13" w:name="OLE_LINK18"/>
            <w:r>
              <w:rPr>
                <w:rFonts w:hint="default" w:ascii="Times New Roman" w:hAnsi="Times New Roman" w:cs="Times New Roman"/>
              </w:rPr>
              <w:t>Conversion into single currency</w:t>
            </w:r>
            <w:bookmarkEnd w:id="13"/>
            <w:r>
              <w:rPr>
                <w:rFonts w:hint="default" w:ascii="Times New Roman" w:hAnsi="Times New Roman" w:cs="Times New Roman"/>
              </w:rPr>
              <w:t xml:space="preserve">: For the convenience of bid evaluation and comparison, all bids for this project shall be uniformly quoted in RMB. </w:t>
            </w:r>
            <w:r>
              <w:rPr>
                <w:rFonts w:hint="default" w:ascii="Times New Roman" w:hAnsi="Times New Roman" w:cs="Times New Roman"/>
                <w:sz w:val="24"/>
              </w:rPr>
              <w:t>Bidders shall independently assess any potential exchange rate risks, which shall have already been factored into the bid price.</w:t>
            </w:r>
          </w:p>
        </w:tc>
      </w:tr>
      <w:tr w14:paraId="06F853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540" w:type="pct"/>
            <w:vAlign w:val="center"/>
          </w:tcPr>
          <w:p w14:paraId="085226D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*26.4.2</w:t>
            </w:r>
          </w:p>
        </w:tc>
        <w:tc>
          <w:tcPr>
            <w:tcW w:w="4459" w:type="pct"/>
          </w:tcPr>
          <w:p w14:paraId="1452FF8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Delivery time: (1) Delivery time requirements: Within 540 days (calendar days) after the signing of the contract. (2) Obligations that the Bidder is required to assume, including the transportation, installation and commissioning, acceptance inspection of the equipment, and the provision of equipment operation manuals, drawings, and other similar obligations.</w:t>
            </w:r>
          </w:p>
          <w:p w14:paraId="6AD2CD0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Deviation from the delivery date: Failure to meet the requirements will result in rejection of the bid.</w:t>
            </w:r>
          </w:p>
        </w:tc>
      </w:tr>
      <w:tr w14:paraId="2F1C5E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5" w:hRule="atLeast"/>
        </w:trPr>
        <w:tc>
          <w:tcPr>
            <w:tcW w:w="540" w:type="pct"/>
            <w:vAlign w:val="center"/>
          </w:tcPr>
          <w:p w14:paraId="437EE34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13.3</w:t>
            </w:r>
          </w:p>
        </w:tc>
        <w:tc>
          <w:tcPr>
            <w:tcW w:w="4459" w:type="pct"/>
            <w:vAlign w:val="center"/>
          </w:tcPr>
          <w:p w14:paraId="699FFB1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The bidder shall have similar performance experience. Note: The key pages of the contract and the acceptance documents shall be provided (the acceptance documents shall be signed for confirmation) (Form IV-11: Format of Bidder's Similar Performance Experience shall be completed).</w:t>
            </w:r>
          </w:p>
        </w:tc>
      </w:tr>
      <w:tr w14:paraId="2EB431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5" w:hRule="atLeast"/>
        </w:trPr>
        <w:tc>
          <w:tcPr>
            <w:tcW w:w="540" w:type="pct"/>
            <w:vAlign w:val="center"/>
          </w:tcPr>
          <w:p w14:paraId="7A2B75E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27</w:t>
            </w:r>
          </w:p>
        </w:tc>
        <w:tc>
          <w:tcPr>
            <w:tcW w:w="4459" w:type="pct"/>
            <w:vAlign w:val="center"/>
          </w:tcPr>
          <w:p w14:paraId="166121D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highlight w:val="none"/>
              </w:rPr>
            </w:pPr>
            <w:r>
              <w:rPr>
                <w:rFonts w:hint="default" w:ascii="Times New Roman" w:hAnsi="Times New Roman" w:cs="Times New Roman"/>
                <w:highlight w:val="none"/>
              </w:rPr>
              <w:t xml:space="preserve">The </w:t>
            </w:r>
            <w:r>
              <w:rPr>
                <w:rFonts w:hint="default" w:ascii="Times New Roman" w:hAnsi="Times New Roman" w:cs="Times New Roman"/>
                <w:highlight w:val="none"/>
                <w:lang w:eastAsia="zh-CN"/>
              </w:rPr>
              <w:t>Scoring Factor</w:t>
            </w:r>
            <w:r>
              <w:rPr>
                <w:rFonts w:hint="default" w:ascii="Times New Roman" w:hAnsi="Times New Roman" w:cs="Times New Roman"/>
                <w:highlight w:val="none"/>
              </w:rPr>
              <w:t>s and weights, evaluation criteria, evaluation procedures and bid determination principles of this tender project are specified in the table below.</w:t>
            </w:r>
          </w:p>
        </w:tc>
      </w:tr>
      <w:tr w14:paraId="601F1F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5" w:hRule="atLeast"/>
        </w:trPr>
        <w:tc>
          <w:tcPr>
            <w:tcW w:w="5000" w:type="pct"/>
            <w:gridSpan w:val="2"/>
            <w:vAlign w:val="center"/>
          </w:tcPr>
          <w:p w14:paraId="02E6E0B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2"/>
                <w:szCs w:val="22"/>
                <w:highlight w:val="none"/>
              </w:rPr>
            </w:pPr>
          </w:p>
          <w:p w14:paraId="194AAE0C">
            <w:pPr>
              <w:pStyle w:val="8"/>
              <w:keepNext w:val="0"/>
              <w:keepLines w:val="0"/>
              <w:widowControl/>
              <w:numPr>
                <w:ilvl w:val="0"/>
                <w:numId w:val="10"/>
              </w:numPr>
              <w:suppressLineNumbers w:val="0"/>
              <w:spacing w:before="0" w:beforeAutospacing="0" w:afterAutospacing="0"/>
              <w:ind w:left="0" w:right="0"/>
              <w:jc w:val="both"/>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eastAsiaTheme="minorEastAsia"/>
                <w:kern w:val="2"/>
                <w:sz w:val="21"/>
                <w:szCs w:val="22"/>
                <w:highlight w:val="none"/>
                <w:lang w:val="en-US" w:eastAsia="zh-CN" w:bidi="ar-SA"/>
              </w:rPr>
              <w:t>Evaluation Procedures and Bid Award Principles</w:t>
            </w:r>
            <w:r>
              <w:rPr>
                <w:rFonts w:hint="default" w:ascii="Times New Roman" w:hAnsi="Times New Roman" w:cs="Times New Roman"/>
                <w:kern w:val="2"/>
                <w:sz w:val="21"/>
                <w:szCs w:val="22"/>
                <w:highlight w:val="none"/>
                <w:lang w:val="en-US" w:eastAsia="zh-CN" w:bidi="ar-SA"/>
              </w:rPr>
              <w:t>：</w:t>
            </w:r>
          </w:p>
          <w:p w14:paraId="497EBC43">
            <w:pPr>
              <w:pStyle w:val="8"/>
              <w:keepNext w:val="0"/>
              <w:keepLines w:val="0"/>
              <w:widowControl/>
              <w:numPr>
                <w:ilvl w:val="0"/>
                <w:numId w:val="11"/>
              </w:numPr>
              <w:suppressLineNumbers w:val="0"/>
              <w:spacing w:before="0" w:beforeAutospacing="0" w:afterAutospacing="0"/>
              <w:ind w:left="0" w:right="0"/>
              <w:jc w:val="both"/>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Evaluation Procedures:</w:t>
            </w:r>
          </w:p>
          <w:p w14:paraId="3F76C6EF">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eastAsiaTheme="minorEastAsia"/>
                <w:kern w:val="2"/>
                <w:sz w:val="21"/>
                <w:szCs w:val="22"/>
                <w:highlight w:val="none"/>
                <w:lang w:val="en-US" w:eastAsia="zh-CN" w:bidi="ar-SA"/>
              </w:rPr>
              <w:t xml:space="preserve">The bid evaluation committee shall first conduct a preliminary review of the bid documents, identify and reject invalid bid documents and those with substantial deviations. Bid documents passing the preliminary review </w:t>
            </w:r>
            <w:r>
              <w:rPr>
                <w:rFonts w:hint="default" w:ascii="Times New Roman" w:hAnsi="Times New Roman" w:cs="Times New Roman"/>
                <w:kern w:val="2"/>
                <w:sz w:val="21"/>
                <w:szCs w:val="22"/>
                <w:highlight w:val="none"/>
                <w:lang w:val="en-US" w:eastAsia="zh-CN" w:bidi="ar-SA"/>
              </w:rPr>
              <w:t xml:space="preserve">are allowed to proceed with </w:t>
            </w:r>
            <w:r>
              <w:rPr>
                <w:rFonts w:hint="default" w:ascii="Times New Roman" w:hAnsi="Times New Roman" w:cs="Times New Roman" w:eastAsiaTheme="minorEastAsia"/>
                <w:kern w:val="2"/>
                <w:sz w:val="21"/>
                <w:szCs w:val="22"/>
                <w:highlight w:val="none"/>
                <w:lang w:val="en-US" w:eastAsia="zh-CN" w:bidi="ar-SA"/>
              </w:rPr>
              <w:t>the comprehensive evaluation stage.</w:t>
            </w:r>
          </w:p>
          <w:p w14:paraId="38C49806">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firstLineChars="0"/>
              <w:jc w:val="both"/>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eastAsiaTheme="minorEastAsia"/>
                <w:kern w:val="2"/>
                <w:sz w:val="21"/>
                <w:szCs w:val="22"/>
                <w:highlight w:val="none"/>
                <w:lang w:val="en-US" w:eastAsia="zh-CN" w:bidi="ar-SA"/>
              </w:rPr>
              <w:t xml:space="preserve">Members of the bid evaluation committee shall independently score the bidders' bid documents in accordance with the provisions of the comprehensive scoring method, and calculate the itemized scores of each bidder in terms of business, </w:t>
            </w:r>
            <w:r>
              <w:rPr>
                <w:rFonts w:hint="default" w:ascii="Times New Roman" w:hAnsi="Times New Roman" w:cs="Times New Roman"/>
                <w:kern w:val="2"/>
                <w:sz w:val="21"/>
                <w:szCs w:val="22"/>
                <w:highlight w:val="none"/>
                <w:lang w:val="en-US" w:eastAsia="zh-CN" w:bidi="ar-SA"/>
              </w:rPr>
              <w:t>technique</w:t>
            </w:r>
            <w:r>
              <w:rPr>
                <w:rFonts w:hint="default" w:ascii="Times New Roman" w:hAnsi="Times New Roman" w:cs="Times New Roman" w:eastAsiaTheme="minorEastAsia"/>
                <w:kern w:val="2"/>
                <w:sz w:val="21"/>
                <w:szCs w:val="22"/>
                <w:highlight w:val="none"/>
                <w:lang w:val="en-US" w:eastAsia="zh-CN" w:bidi="ar-SA"/>
              </w:rPr>
              <w:t xml:space="preserve">, service and other evaluation contents respectively. </w:t>
            </w:r>
            <w:r>
              <w:rPr>
                <w:rFonts w:hint="default" w:ascii="Times New Roman" w:hAnsi="Times New Roman" w:cs="Times New Roman"/>
                <w:kern w:val="2"/>
                <w:sz w:val="21"/>
                <w:szCs w:val="22"/>
                <w:highlight w:val="none"/>
                <w:lang w:val="en-US" w:eastAsia="zh-CN" w:bidi="ar-SA"/>
              </w:rPr>
              <w:t>No s</w:t>
            </w:r>
            <w:r>
              <w:rPr>
                <w:rFonts w:hint="default" w:ascii="Times New Roman" w:hAnsi="Times New Roman" w:cs="Times New Roman" w:eastAsiaTheme="minorEastAsia"/>
                <w:kern w:val="2"/>
                <w:sz w:val="21"/>
                <w:szCs w:val="22"/>
                <w:highlight w:val="none"/>
                <w:lang w:val="en-US" w:eastAsia="zh-CN" w:bidi="ar-SA"/>
              </w:rPr>
              <w:t>core addition or deduction</w:t>
            </w:r>
            <w:r>
              <w:rPr>
                <w:rFonts w:hint="default" w:ascii="Times New Roman" w:hAnsi="Times New Roman" w:cs="Times New Roman"/>
                <w:kern w:val="2"/>
                <w:sz w:val="21"/>
                <w:szCs w:val="22"/>
                <w:highlight w:val="none"/>
                <w:lang w:val="en-US" w:eastAsia="zh-CN" w:bidi="ar-SA"/>
              </w:rPr>
              <w:t xml:space="preserve"> on the basis of a</w:t>
            </w:r>
            <w:r>
              <w:rPr>
                <w:rFonts w:hint="default" w:ascii="Times New Roman" w:hAnsi="Times New Roman" w:cs="Times New Roman" w:eastAsiaTheme="minorEastAsia"/>
                <w:kern w:val="2"/>
                <w:sz w:val="21"/>
                <w:szCs w:val="22"/>
                <w:highlight w:val="none"/>
                <w:lang w:val="en-US" w:eastAsia="zh-CN" w:bidi="ar-SA"/>
              </w:rPr>
              <w:t xml:space="preserve">ny criteria not specified in the tender documents </w:t>
            </w:r>
            <w:r>
              <w:rPr>
                <w:rFonts w:hint="default" w:ascii="Times New Roman" w:hAnsi="Times New Roman" w:cs="Times New Roman"/>
                <w:kern w:val="2"/>
                <w:sz w:val="21"/>
                <w:szCs w:val="22"/>
                <w:highlight w:val="none"/>
                <w:lang w:val="en-US" w:eastAsia="zh-CN" w:bidi="ar-SA"/>
              </w:rPr>
              <w:t>is acceptable</w:t>
            </w:r>
            <w:r>
              <w:rPr>
                <w:rFonts w:hint="default" w:ascii="Times New Roman" w:hAnsi="Times New Roman" w:cs="Times New Roman" w:eastAsiaTheme="minorEastAsia"/>
                <w:kern w:val="2"/>
                <w:sz w:val="21"/>
                <w:szCs w:val="22"/>
                <w:highlight w:val="none"/>
                <w:lang w:val="en-US" w:eastAsia="zh-CN" w:bidi="ar-SA"/>
              </w:rPr>
              <w:t>.</w:t>
            </w:r>
          </w:p>
          <w:p w14:paraId="382AA1D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firstLine="0" w:firstLineChars="0"/>
              <w:jc w:val="both"/>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kern w:val="2"/>
                <w:sz w:val="21"/>
                <w:szCs w:val="22"/>
                <w:highlight w:val="none"/>
                <w:lang w:val="en-US" w:eastAsia="zh-CN" w:bidi="ar-SA"/>
              </w:rPr>
              <w:t>4</w:t>
            </w:r>
            <w:r>
              <w:rPr>
                <w:rFonts w:hint="default" w:ascii="Times New Roman" w:hAnsi="Times New Roman" w:cs="Times New Roman" w:eastAsiaTheme="minorEastAsia"/>
                <w:kern w:val="2"/>
                <w:sz w:val="21"/>
                <w:szCs w:val="22"/>
                <w:highlight w:val="none"/>
                <w:lang w:val="en-US" w:eastAsia="zh-CN" w:bidi="ar-SA"/>
              </w:rPr>
              <w:t xml:space="preserve">.The price evaluation shall be carried out in the following order: (1) Arithmetical correction; (2) </w:t>
            </w:r>
            <w:r>
              <w:rPr>
                <w:rFonts w:hint="default" w:ascii="Times New Roman" w:hAnsi="Times New Roman" w:cs="Times New Roman"/>
                <w:kern w:val="2"/>
                <w:sz w:val="21"/>
                <w:szCs w:val="22"/>
                <w:highlight w:val="none"/>
                <w:lang w:val="en-US" w:eastAsia="zh-CN" w:bidi="ar-SA"/>
              </w:rPr>
              <w:t>Price c</w:t>
            </w:r>
            <w:r>
              <w:rPr>
                <w:rFonts w:hint="default" w:ascii="Times New Roman" w:hAnsi="Times New Roman" w:cs="Times New Roman" w:eastAsiaTheme="minorEastAsia"/>
                <w:kern w:val="2"/>
                <w:sz w:val="21"/>
                <w:szCs w:val="22"/>
                <w:highlight w:val="none"/>
                <w:lang w:val="en-US" w:eastAsia="zh-CN" w:bidi="ar-SA"/>
              </w:rPr>
              <w:t>alculation after bid declaration (discount/price adjustment); (3) Price adjustment; (4) Price scoring.</w:t>
            </w:r>
          </w:p>
          <w:p w14:paraId="1FF946C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firstLine="0" w:firstLineChars="0"/>
              <w:jc w:val="both"/>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kern w:val="2"/>
                <w:sz w:val="21"/>
                <w:szCs w:val="22"/>
                <w:highlight w:val="none"/>
                <w:lang w:val="en-US" w:eastAsia="zh-CN" w:bidi="ar-SA"/>
              </w:rPr>
              <w:t>5</w:t>
            </w:r>
            <w:r>
              <w:rPr>
                <w:rFonts w:hint="default" w:ascii="Times New Roman" w:hAnsi="Times New Roman" w:cs="Times New Roman" w:eastAsiaTheme="minorEastAsia"/>
                <w:kern w:val="2"/>
                <w:sz w:val="21"/>
                <w:szCs w:val="22"/>
                <w:highlight w:val="none"/>
                <w:lang w:val="en-US" w:eastAsia="zh-CN" w:bidi="ar-SA"/>
              </w:rPr>
              <w:t xml:space="preserve">.The bid evaluation committee shall aggregate the scores given by each member. </w:t>
            </w:r>
            <w:r>
              <w:rPr>
                <w:rFonts w:hint="default" w:ascii="Times New Roman" w:hAnsi="Times New Roman" w:cs="Times New Roman"/>
                <w:kern w:val="2"/>
                <w:sz w:val="21"/>
                <w:szCs w:val="22"/>
                <w:highlight w:val="none"/>
                <w:lang w:val="en-US" w:eastAsia="zh-CN" w:bidi="ar-SA"/>
              </w:rPr>
              <w:t xml:space="preserve">The </w:t>
            </w:r>
            <w:r>
              <w:rPr>
                <w:rFonts w:hint="default" w:ascii="Times New Roman" w:hAnsi="Times New Roman" w:cs="Times New Roman" w:eastAsiaTheme="minorEastAsia"/>
                <w:kern w:val="2"/>
                <w:sz w:val="21"/>
                <w:szCs w:val="22"/>
                <w:highlight w:val="none"/>
                <w:lang w:val="en-US" w:eastAsia="zh-CN" w:bidi="ar-SA"/>
              </w:rPr>
              <w:t>member</w:t>
            </w:r>
            <w:r>
              <w:rPr>
                <w:rFonts w:hint="default" w:ascii="Times New Roman" w:hAnsi="Times New Roman" w:cs="Times New Roman"/>
                <w:kern w:val="2"/>
                <w:sz w:val="21"/>
                <w:szCs w:val="22"/>
                <w:highlight w:val="none"/>
                <w:lang w:val="en-US" w:eastAsia="zh-CN" w:bidi="ar-SA"/>
              </w:rPr>
              <w:t>s</w:t>
            </w:r>
            <w:r>
              <w:rPr>
                <w:rFonts w:hint="default" w:ascii="Times New Roman" w:hAnsi="Times New Roman" w:cs="Times New Roman" w:eastAsiaTheme="minorEastAsia"/>
                <w:kern w:val="2"/>
                <w:sz w:val="21"/>
                <w:szCs w:val="22"/>
                <w:highlight w:val="none"/>
                <w:lang w:val="en-US" w:eastAsia="zh-CN" w:bidi="ar-SA"/>
              </w:rPr>
              <w:t xml:space="preserve"> </w:t>
            </w:r>
            <w:r>
              <w:rPr>
                <w:rFonts w:hint="default" w:ascii="Times New Roman" w:hAnsi="Times New Roman" w:cs="Times New Roman"/>
                <w:kern w:val="2"/>
                <w:sz w:val="21"/>
                <w:szCs w:val="22"/>
                <w:highlight w:val="none"/>
                <w:lang w:val="en-US" w:eastAsia="zh-CN" w:bidi="ar-SA"/>
              </w:rPr>
              <w:t>who have</w:t>
            </w:r>
            <w:r>
              <w:rPr>
                <w:rFonts w:hint="default" w:ascii="Times New Roman" w:hAnsi="Times New Roman" w:cs="Times New Roman" w:eastAsiaTheme="minorEastAsia"/>
                <w:kern w:val="2"/>
                <w:sz w:val="21"/>
                <w:szCs w:val="22"/>
                <w:highlight w:val="none"/>
                <w:lang w:val="en-US" w:eastAsia="zh-CN" w:bidi="ar-SA"/>
              </w:rPr>
              <w:t xml:space="preserve"> submitt</w:t>
            </w:r>
            <w:r>
              <w:rPr>
                <w:rFonts w:hint="default" w:ascii="Times New Roman" w:hAnsi="Times New Roman" w:cs="Times New Roman"/>
                <w:kern w:val="2"/>
                <w:sz w:val="21"/>
                <w:szCs w:val="22"/>
                <w:highlight w:val="none"/>
                <w:lang w:val="en-US" w:eastAsia="zh-CN" w:bidi="ar-SA"/>
              </w:rPr>
              <w:t>ed</w:t>
            </w:r>
            <w:r>
              <w:rPr>
                <w:rFonts w:hint="default" w:ascii="Times New Roman" w:hAnsi="Times New Roman" w:cs="Times New Roman" w:eastAsiaTheme="minorEastAsia"/>
                <w:kern w:val="2"/>
                <w:sz w:val="21"/>
                <w:szCs w:val="22"/>
                <w:highlight w:val="none"/>
                <w:lang w:val="en-US" w:eastAsia="zh-CN" w:bidi="ar-SA"/>
              </w:rPr>
              <w:t xml:space="preserve"> the independently issued evaluation record sheet</w:t>
            </w:r>
            <w:r>
              <w:rPr>
                <w:rFonts w:hint="default" w:ascii="Times New Roman" w:hAnsi="Times New Roman" w:cs="Times New Roman"/>
                <w:kern w:val="2"/>
                <w:sz w:val="21"/>
                <w:szCs w:val="22"/>
                <w:highlight w:val="none"/>
                <w:lang w:val="en-US" w:eastAsia="zh-CN" w:bidi="ar-SA"/>
              </w:rPr>
              <w:t xml:space="preserve"> are not allowed to re-score</w:t>
            </w:r>
            <w:r>
              <w:rPr>
                <w:rFonts w:hint="default" w:ascii="Times New Roman" w:hAnsi="Times New Roman" w:cs="Times New Roman" w:eastAsiaTheme="minorEastAsia"/>
                <w:kern w:val="2"/>
                <w:sz w:val="21"/>
                <w:szCs w:val="22"/>
                <w:highlight w:val="none"/>
                <w:lang w:val="en-US" w:eastAsia="zh-CN" w:bidi="ar-SA"/>
              </w:rPr>
              <w:t>.</w:t>
            </w:r>
          </w:p>
          <w:p w14:paraId="67DCBB9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firstLine="0" w:firstLineChars="0"/>
              <w:jc w:val="both"/>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eastAsiaTheme="minorEastAsia"/>
                <w:kern w:val="2"/>
                <w:sz w:val="21"/>
                <w:szCs w:val="22"/>
                <w:highlight w:val="none"/>
                <w:lang w:val="en-US" w:eastAsia="zh-CN" w:bidi="ar-SA"/>
              </w:rPr>
              <w:t>In case members of the bid evaluation committee</w:t>
            </w:r>
            <w:r>
              <w:rPr>
                <w:rFonts w:hint="default" w:ascii="Times New Roman" w:hAnsi="Times New Roman" w:cs="Times New Roman"/>
                <w:kern w:val="2"/>
                <w:sz w:val="21"/>
                <w:szCs w:val="22"/>
                <w:highlight w:val="none"/>
                <w:lang w:val="en-US" w:eastAsia="zh-CN" w:bidi="ar-SA"/>
              </w:rPr>
              <w:t xml:space="preserve"> face</w:t>
            </w:r>
            <w:r>
              <w:rPr>
                <w:rFonts w:hint="default" w:ascii="Times New Roman" w:hAnsi="Times New Roman" w:cs="Times New Roman" w:eastAsiaTheme="minorEastAsia"/>
                <w:kern w:val="2"/>
                <w:sz w:val="21"/>
                <w:szCs w:val="22"/>
                <w:highlight w:val="none"/>
                <w:lang w:val="en-US" w:eastAsia="zh-CN" w:bidi="ar-SA"/>
              </w:rPr>
              <w:t xml:space="preserve"> a discrepancy in the itemized scoring results of business, </w:t>
            </w:r>
            <w:r>
              <w:rPr>
                <w:rFonts w:hint="default" w:ascii="Times New Roman" w:hAnsi="Times New Roman" w:cs="Times New Roman"/>
                <w:kern w:val="2"/>
                <w:sz w:val="21"/>
                <w:szCs w:val="22"/>
                <w:highlight w:val="none"/>
                <w:lang w:val="en-US" w:eastAsia="zh-CN" w:bidi="ar-SA"/>
              </w:rPr>
              <w:t>technique</w:t>
            </w:r>
            <w:r>
              <w:rPr>
                <w:rFonts w:hint="default" w:ascii="Times New Roman" w:hAnsi="Times New Roman" w:cs="Times New Roman" w:eastAsiaTheme="minorEastAsia"/>
                <w:kern w:val="2"/>
                <w:sz w:val="21"/>
                <w:szCs w:val="22"/>
                <w:highlight w:val="none"/>
                <w:lang w:val="en-US" w:eastAsia="zh-CN" w:bidi="ar-SA"/>
              </w:rPr>
              <w:t>, service and other evaluation contents for the same bidder, the following adjustment principles shall be followed:</w:t>
            </w:r>
          </w:p>
          <w:p w14:paraId="1696502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cs="Times New Roman" w:eastAsiaTheme="minorEastAsia"/>
                <w:kern w:val="2"/>
                <w:sz w:val="21"/>
                <w:szCs w:val="22"/>
                <w:highlight w:val="none"/>
                <w:lang w:val="en-US" w:eastAsia="zh-CN" w:bidi="ar-SA"/>
              </w:rPr>
            </w:pPr>
            <w:r>
              <w:rPr>
                <w:rFonts w:hint="default" w:ascii="Times New Roman" w:hAnsi="Times New Roman" w:cs="Times New Roman" w:eastAsiaTheme="minorEastAsia"/>
                <w:kern w:val="2"/>
                <w:sz w:val="21"/>
                <w:szCs w:val="22"/>
                <w:highlight w:val="none"/>
                <w:lang w:val="en-US" w:eastAsia="zh-CN" w:bidi="ar-SA"/>
              </w:rPr>
              <w:t xml:space="preserve">The itemized score of a bid evaluation committee member </w:t>
            </w:r>
            <w:r>
              <w:rPr>
                <w:rFonts w:hint="default" w:ascii="Times New Roman" w:hAnsi="Times New Roman" w:cs="Times New Roman"/>
                <w:kern w:val="2"/>
                <w:sz w:val="21"/>
                <w:szCs w:val="22"/>
                <w:highlight w:val="none"/>
                <w:lang w:val="en-US" w:eastAsia="zh-CN" w:bidi="ar-SA"/>
              </w:rPr>
              <w:t xml:space="preserve">that </w:t>
            </w:r>
            <w:r>
              <w:rPr>
                <w:rFonts w:hint="default" w:ascii="Times New Roman" w:hAnsi="Times New Roman" w:cs="Times New Roman" w:eastAsiaTheme="minorEastAsia"/>
                <w:kern w:val="2"/>
                <w:sz w:val="21"/>
                <w:szCs w:val="22"/>
                <w:highlight w:val="none"/>
                <w:lang w:val="en-US" w:eastAsia="zh-CN" w:bidi="ar-SA"/>
              </w:rPr>
              <w:t xml:space="preserve">deviates by more than ±20% from the average score of all committee members shall be eliminated and replaced by the average score of other members whose scores are within the allowable deviation range (hereinafter referred to as the "corrected score value"); if </w:t>
            </w:r>
            <w:r>
              <w:rPr>
                <w:rFonts w:hint="default" w:ascii="Times New Roman" w:hAnsi="Times New Roman" w:cs="Times New Roman"/>
                <w:kern w:val="2"/>
                <w:sz w:val="21"/>
                <w:szCs w:val="22"/>
                <w:highlight w:val="none"/>
                <w:lang w:val="en-US" w:eastAsia="zh-CN" w:bidi="ar-SA"/>
              </w:rPr>
              <w:t xml:space="preserve">the </w:t>
            </w:r>
            <w:r>
              <w:rPr>
                <w:rFonts w:hint="default" w:ascii="Times New Roman" w:hAnsi="Times New Roman" w:cs="Times New Roman" w:eastAsiaTheme="minorEastAsia"/>
                <w:kern w:val="2"/>
                <w:sz w:val="21"/>
                <w:szCs w:val="22"/>
                <w:highlight w:val="none"/>
                <w:lang w:val="en-US" w:eastAsia="zh-CN" w:bidi="ar-SA"/>
              </w:rPr>
              <w:t>itemized score of a bid evaluation committee member deviate</w:t>
            </w:r>
            <w:r>
              <w:rPr>
                <w:rFonts w:hint="default" w:ascii="Times New Roman" w:hAnsi="Times New Roman" w:cs="Times New Roman"/>
                <w:kern w:val="2"/>
                <w:sz w:val="21"/>
                <w:szCs w:val="22"/>
                <w:highlight w:val="none"/>
                <w:lang w:val="en-US" w:eastAsia="zh-CN" w:bidi="ar-SA"/>
              </w:rPr>
              <w:t>s</w:t>
            </w:r>
            <w:r>
              <w:rPr>
                <w:rFonts w:hint="default" w:ascii="Times New Roman" w:hAnsi="Times New Roman" w:cs="Times New Roman" w:eastAsiaTheme="minorEastAsia"/>
                <w:kern w:val="2"/>
                <w:sz w:val="21"/>
                <w:szCs w:val="22"/>
                <w:highlight w:val="none"/>
                <w:lang w:val="en-US" w:eastAsia="zh-CN" w:bidi="ar-SA"/>
              </w:rPr>
              <w:t xml:space="preserve"> by more than ±20% from the average score of all committee</w:t>
            </w:r>
            <w:r>
              <w:rPr>
                <w:rFonts w:hint="default" w:ascii="Times New Roman" w:hAnsi="Times New Roman" w:cs="Times New Roman"/>
                <w:kern w:val="2"/>
                <w:sz w:val="21"/>
                <w:szCs w:val="22"/>
                <w:highlight w:val="none"/>
                <w:lang w:val="en-US" w:eastAsia="zh-CN" w:bidi="ar-SA"/>
              </w:rPr>
              <w:t xml:space="preserve"> </w:t>
            </w:r>
            <w:r>
              <w:rPr>
                <w:rFonts w:hint="default" w:ascii="Times New Roman" w:hAnsi="Times New Roman" w:cs="Times New Roman" w:eastAsiaTheme="minorEastAsia"/>
                <w:kern w:val="2"/>
                <w:sz w:val="21"/>
                <w:szCs w:val="22"/>
                <w:highlight w:val="none"/>
                <w:lang w:val="en-US" w:eastAsia="zh-CN" w:bidi="ar-SA"/>
              </w:rPr>
              <w:t xml:space="preserve">members, the </w:t>
            </w:r>
            <w:r>
              <w:rPr>
                <w:rFonts w:hint="default" w:ascii="Times New Roman" w:hAnsi="Times New Roman" w:cs="Times New Roman"/>
                <w:kern w:val="2"/>
                <w:sz w:val="21"/>
                <w:szCs w:val="22"/>
                <w:highlight w:val="none"/>
                <w:lang w:val="en-US" w:eastAsia="zh-CN" w:bidi="ar-SA"/>
              </w:rPr>
              <w:t>latter</w:t>
            </w:r>
            <w:r>
              <w:rPr>
                <w:rFonts w:hint="default" w:ascii="Times New Roman" w:hAnsi="Times New Roman" w:cs="Times New Roman" w:eastAsiaTheme="minorEastAsia"/>
                <w:kern w:val="2"/>
                <w:sz w:val="21"/>
                <w:szCs w:val="22"/>
                <w:highlight w:val="none"/>
                <w:lang w:val="en-US" w:eastAsia="zh-CN" w:bidi="ar-SA"/>
              </w:rPr>
              <w:t xml:space="preserve"> shall be taken as the itemized score of the bidder.</w:t>
            </w:r>
          </w:p>
          <w:p w14:paraId="1F84B28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firstLine="0" w:firstLineChars="0"/>
              <w:jc w:val="both"/>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cs="Times New Roman"/>
                <w:kern w:val="2"/>
                <w:sz w:val="21"/>
                <w:szCs w:val="21"/>
                <w:highlight w:val="none"/>
                <w:lang w:val="en-US" w:eastAsia="zh-CN" w:bidi="ar-SA"/>
              </w:rPr>
              <w:t>6</w:t>
            </w:r>
            <w:r>
              <w:rPr>
                <w:rFonts w:hint="default" w:ascii="Times New Roman" w:hAnsi="Times New Roman" w:cs="Times New Roman" w:eastAsiaTheme="minorEastAsia"/>
                <w:kern w:val="2"/>
                <w:sz w:val="21"/>
                <w:szCs w:val="21"/>
                <w:highlight w:val="none"/>
                <w:lang w:val="en-US" w:eastAsia="zh-CN" w:bidi="ar-SA"/>
              </w:rPr>
              <w:t>.</w:t>
            </w:r>
            <w:r>
              <w:rPr>
                <w:rFonts w:hint="default" w:ascii="Times New Roman" w:hAnsi="Times New Roman" w:eastAsia="宋体" w:cs="Times New Roman"/>
                <w:sz w:val="21"/>
                <w:szCs w:val="21"/>
                <w:highlight w:val="none"/>
              </w:rPr>
              <w:t xml:space="preserve">The comprehensive score of </w:t>
            </w:r>
            <w:r>
              <w:rPr>
                <w:rFonts w:hint="default" w:ascii="Times New Roman" w:hAnsi="Times New Roman" w:eastAsia="宋体" w:cs="Times New Roman"/>
                <w:sz w:val="21"/>
                <w:szCs w:val="21"/>
                <w:highlight w:val="none"/>
                <w:lang w:eastAsia="zh-CN"/>
              </w:rPr>
              <w:t>a</w:t>
            </w:r>
            <w:r>
              <w:rPr>
                <w:rFonts w:hint="default" w:ascii="Times New Roman" w:hAnsi="Times New Roman" w:eastAsia="宋体" w:cs="Times New Roman"/>
                <w:sz w:val="21"/>
                <w:szCs w:val="21"/>
                <w:highlight w:val="none"/>
              </w:rPr>
              <w:t xml:space="preserve"> bidder shall be the sum of the itemized scores of business, </w:t>
            </w:r>
            <w:r>
              <w:rPr>
                <w:rFonts w:hint="default" w:ascii="Times New Roman" w:hAnsi="Times New Roman" w:eastAsia="宋体" w:cs="Times New Roman"/>
                <w:sz w:val="21"/>
                <w:szCs w:val="21"/>
                <w:highlight w:val="none"/>
                <w:lang w:eastAsia="zh-CN"/>
              </w:rPr>
              <w:t>technique</w:t>
            </w:r>
            <w:r>
              <w:rPr>
                <w:rFonts w:hint="default" w:ascii="Times New Roman" w:hAnsi="Times New Roman" w:eastAsia="宋体" w:cs="Times New Roman"/>
                <w:sz w:val="21"/>
                <w:szCs w:val="21"/>
                <w:highlight w:val="none"/>
              </w:rPr>
              <w:t>, price, service and other evaluation contents.</w:t>
            </w:r>
          </w:p>
          <w:p w14:paraId="63EACB19">
            <w:pPr>
              <w:pStyle w:val="8"/>
              <w:keepNext w:val="0"/>
              <w:keepLines w:val="0"/>
              <w:widowControl/>
              <w:numPr>
                <w:ilvl w:val="0"/>
                <w:numId w:val="11"/>
              </w:numPr>
              <w:suppressLineNumbers w:val="0"/>
              <w:spacing w:before="0" w:beforeAutospacing="0" w:afterAutospacing="0"/>
              <w:ind w:left="0" w:right="0"/>
              <w:jc w:val="both"/>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Bid Award Principles</w:t>
            </w:r>
            <w:r>
              <w:rPr>
                <w:rFonts w:hint="default" w:ascii="Times New Roman" w:hAnsi="Times New Roman" w:eastAsia="宋体" w:cs="Times New Roman"/>
                <w:sz w:val="24"/>
                <w:szCs w:val="24"/>
                <w:highlight w:val="none"/>
                <w:lang w:eastAsia="zh-CN"/>
              </w:rPr>
              <w:t>：</w:t>
            </w:r>
          </w:p>
          <w:p w14:paraId="5C0498AB">
            <w:pPr>
              <w:pStyle w:val="8"/>
              <w:keepNext w:val="0"/>
              <w:keepLines w:val="0"/>
              <w:widowControl/>
              <w:numPr>
                <w:ilvl w:val="0"/>
                <w:numId w:val="13"/>
              </w:numPr>
              <w:suppressLineNumbers w:val="0"/>
              <w:spacing w:before="0" w:beforeAutospacing="0" w:after="0" w:afterAutospacing="0" w:line="240" w:lineRule="auto"/>
              <w:ind w:left="0" w:right="0"/>
              <w:jc w:val="both"/>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sz w:val="21"/>
                <w:szCs w:val="21"/>
                <w:highlight w:val="none"/>
              </w:rPr>
              <w:t xml:space="preserve">The bid evaluation committee shall rank each bidder according to their comprehensive scores. </w:t>
            </w:r>
            <w:r>
              <w:rPr>
                <w:rFonts w:hint="default" w:ascii="Times New Roman" w:hAnsi="Times New Roman" w:eastAsia="宋体" w:cs="Times New Roman"/>
                <w:sz w:val="21"/>
                <w:szCs w:val="21"/>
                <w:highlight w:val="none"/>
                <w:lang w:val="en-US" w:eastAsia="zh-CN"/>
              </w:rPr>
              <w:t xml:space="preserve">In terms of ranking, priority is given to the bidder with a higher price score </w:t>
            </w:r>
            <w:r>
              <w:rPr>
                <w:rFonts w:hint="default" w:ascii="Times New Roman" w:hAnsi="Times New Roman" w:eastAsia="宋体" w:cs="Times New Roman"/>
                <w:sz w:val="21"/>
                <w:szCs w:val="21"/>
                <w:highlight w:val="none"/>
                <w:lang w:eastAsia="zh-CN"/>
              </w:rPr>
              <w:t>i</w:t>
            </w:r>
            <w:r>
              <w:rPr>
                <w:rFonts w:hint="default" w:ascii="Times New Roman" w:hAnsi="Times New Roman" w:eastAsia="宋体" w:cs="Times New Roman"/>
                <w:sz w:val="21"/>
                <w:szCs w:val="21"/>
                <w:highlight w:val="none"/>
              </w:rPr>
              <w:t xml:space="preserve">n case of the same comprehensive score, </w:t>
            </w:r>
            <w:r>
              <w:rPr>
                <w:rFonts w:hint="default" w:ascii="Times New Roman" w:hAnsi="Times New Roman" w:eastAsia="宋体" w:cs="Times New Roman"/>
                <w:sz w:val="21"/>
                <w:szCs w:val="21"/>
                <w:highlight w:val="none"/>
                <w:lang w:val="en-US" w:eastAsia="zh-CN"/>
              </w:rPr>
              <w:t xml:space="preserve">to the ones </w:t>
            </w:r>
            <w:r>
              <w:rPr>
                <w:rFonts w:hint="default" w:ascii="Times New Roman" w:hAnsi="Times New Roman" w:eastAsia="宋体" w:cs="Times New Roman"/>
                <w:sz w:val="21"/>
                <w:szCs w:val="21"/>
                <w:highlight w:val="none"/>
              </w:rPr>
              <w:t>with a higher technical score</w:t>
            </w:r>
            <w:r>
              <w:rPr>
                <w:rFonts w:hint="default" w:ascii="Times New Roman" w:hAnsi="Times New Roman" w:eastAsia="宋体" w:cs="Times New Roman"/>
                <w:sz w:val="21"/>
                <w:szCs w:val="21"/>
                <w:highlight w:val="none"/>
                <w:lang w:eastAsia="zh-CN"/>
              </w:rPr>
              <w:t xml:space="preserve"> </w:t>
            </w:r>
            <w:r>
              <w:rPr>
                <w:rFonts w:hint="default" w:ascii="Times New Roman" w:hAnsi="Times New Roman" w:eastAsia="宋体" w:cs="Times New Roman"/>
                <w:sz w:val="21"/>
                <w:szCs w:val="21"/>
                <w:highlight w:val="none"/>
                <w:lang w:val="en-US" w:eastAsia="zh-CN"/>
              </w:rPr>
              <w:t>in case of</w:t>
            </w:r>
            <w:r>
              <w:rPr>
                <w:rFonts w:hint="default" w:ascii="Times New Roman" w:hAnsi="Times New Roman" w:eastAsia="宋体" w:cs="Times New Roman"/>
                <w:sz w:val="21"/>
                <w:szCs w:val="21"/>
                <w:highlight w:val="none"/>
              </w:rPr>
              <w:t xml:space="preserve"> the </w:t>
            </w:r>
            <w:r>
              <w:rPr>
                <w:rFonts w:hint="default" w:ascii="Times New Roman" w:hAnsi="Times New Roman" w:eastAsia="宋体" w:cs="Times New Roman"/>
                <w:sz w:val="21"/>
                <w:szCs w:val="21"/>
                <w:highlight w:val="none"/>
                <w:lang w:val="en-US" w:eastAsia="zh-CN"/>
              </w:rPr>
              <w:t xml:space="preserve">same </w:t>
            </w:r>
            <w:r>
              <w:rPr>
                <w:rFonts w:hint="default" w:ascii="Times New Roman" w:hAnsi="Times New Roman" w:eastAsia="宋体" w:cs="Times New Roman"/>
                <w:sz w:val="21"/>
                <w:szCs w:val="21"/>
                <w:highlight w:val="none"/>
              </w:rPr>
              <w:t>price score</w:t>
            </w:r>
            <w:r>
              <w:rPr>
                <w:rFonts w:hint="default" w:ascii="Times New Roman" w:hAnsi="Times New Roman" w:eastAsia="宋体" w:cs="Times New Roman"/>
                <w:sz w:val="21"/>
                <w:szCs w:val="21"/>
                <w:highlight w:val="none"/>
                <w:lang w:val="en-US" w:eastAsia="zh-CN"/>
              </w:rPr>
              <w:t>,</w:t>
            </w:r>
            <w:r>
              <w:rPr>
                <w:rFonts w:hint="default" w:ascii="Times New Roman" w:hAnsi="Times New Roman" w:eastAsia="宋体" w:cs="Times New Roman"/>
                <w:sz w:val="21"/>
                <w:szCs w:val="21"/>
                <w:highlight w:val="none"/>
              </w:rPr>
              <w:t xml:space="preserve">,and </w:t>
            </w:r>
            <w:r>
              <w:rPr>
                <w:rFonts w:hint="default" w:ascii="Times New Roman" w:hAnsi="Times New Roman" w:eastAsia="宋体" w:cs="Times New Roman"/>
                <w:sz w:val="21"/>
                <w:szCs w:val="21"/>
                <w:highlight w:val="none"/>
                <w:lang w:eastAsia="zh-CN"/>
              </w:rPr>
              <w:t>t</w:t>
            </w:r>
            <w:r>
              <w:rPr>
                <w:rFonts w:hint="default" w:ascii="Times New Roman" w:hAnsi="Times New Roman" w:eastAsia="宋体" w:cs="Times New Roman"/>
                <w:sz w:val="21"/>
                <w:szCs w:val="21"/>
                <w:highlight w:val="none"/>
                <w:lang w:val="en-US" w:eastAsia="zh-CN"/>
              </w:rPr>
              <w:t>o those with itemized score in the order of</w:t>
            </w:r>
            <w:r>
              <w:rPr>
                <w:rFonts w:hint="default" w:ascii="Times New Roman" w:hAnsi="Times New Roman" w:eastAsia="宋体" w:cs="Times New Roman"/>
                <w:sz w:val="21"/>
                <w:szCs w:val="21"/>
                <w:highlight w:val="none"/>
              </w:rPr>
              <w:t xml:space="preserve"> business, service and other evaluation contents.</w:t>
            </w:r>
          </w:p>
          <w:p w14:paraId="70775BD4">
            <w:pPr>
              <w:pStyle w:val="8"/>
              <w:keepNext w:val="0"/>
              <w:keepLines w:val="0"/>
              <w:widowControl/>
              <w:numPr>
                <w:ilvl w:val="0"/>
                <w:numId w:val="13"/>
              </w:numPr>
              <w:suppressLineNumbers w:val="0"/>
              <w:spacing w:before="0" w:beforeAutospacing="0" w:after="0" w:afterAutospacing="0" w:line="240" w:lineRule="auto"/>
              <w:ind w:left="0" w:leftChars="0" w:right="0" w:firstLine="0" w:firstLineChars="0"/>
              <w:jc w:val="both"/>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sz w:val="21"/>
                <w:szCs w:val="21"/>
                <w:highlight w:val="none"/>
              </w:rPr>
              <w:t>The bid evaluation committee shall recommend the bidder rank</w:t>
            </w:r>
            <w:r>
              <w:rPr>
                <w:rFonts w:hint="default" w:ascii="Times New Roman" w:hAnsi="Times New Roman" w:eastAsia="宋体" w:cs="Times New Roman"/>
                <w:sz w:val="21"/>
                <w:szCs w:val="21"/>
                <w:highlight w:val="none"/>
                <w:lang w:val="en-US" w:eastAsia="zh-CN"/>
              </w:rPr>
              <w:t>ing</w:t>
            </w:r>
            <w:r>
              <w:rPr>
                <w:rFonts w:hint="default" w:ascii="Times New Roman" w:hAnsi="Times New Roman" w:eastAsia="宋体" w:cs="Times New Roman"/>
                <w:sz w:val="21"/>
                <w:szCs w:val="21"/>
                <w:highlight w:val="none"/>
              </w:rPr>
              <w:t xml:space="preserve"> first in the comprehensive ranking as the proposed </w:t>
            </w:r>
            <w:r>
              <w:rPr>
                <w:rFonts w:hint="default" w:ascii="Times New Roman" w:hAnsi="Times New Roman" w:eastAsia="宋体" w:cs="Times New Roman"/>
                <w:sz w:val="21"/>
                <w:szCs w:val="21"/>
                <w:highlight w:val="none"/>
                <w:lang w:eastAsia="zh-CN"/>
              </w:rPr>
              <w:t>bid winner</w:t>
            </w:r>
            <w:r>
              <w:rPr>
                <w:rFonts w:hint="default" w:ascii="Times New Roman" w:hAnsi="Times New Roman" w:eastAsia="宋体" w:cs="Times New Roman"/>
                <w:sz w:val="21"/>
                <w:szCs w:val="21"/>
                <w:highlight w:val="none"/>
                <w:lang w:val="en-US" w:eastAsia="zh-CN"/>
              </w:rPr>
              <w:t>, and</w:t>
            </w:r>
            <w:r>
              <w:rPr>
                <w:rFonts w:hint="default" w:ascii="Times New Roman" w:hAnsi="Times New Roman" w:eastAsia="宋体" w:cs="Times New Roman"/>
                <w:sz w:val="21"/>
                <w:szCs w:val="21"/>
                <w:highlight w:val="none"/>
              </w:rPr>
              <w:t xml:space="preserve"> the bidder rank</w:t>
            </w:r>
            <w:r>
              <w:rPr>
                <w:rFonts w:hint="default" w:ascii="Times New Roman" w:hAnsi="Times New Roman" w:eastAsia="宋体" w:cs="Times New Roman"/>
                <w:sz w:val="21"/>
                <w:szCs w:val="21"/>
                <w:highlight w:val="none"/>
                <w:lang w:val="en-US" w:eastAsia="zh-CN"/>
              </w:rPr>
              <w:t>ing</w:t>
            </w:r>
            <w:r>
              <w:rPr>
                <w:rFonts w:hint="default" w:ascii="Times New Roman" w:hAnsi="Times New Roman" w:eastAsia="宋体" w:cs="Times New Roman"/>
                <w:sz w:val="21"/>
                <w:szCs w:val="21"/>
                <w:highlight w:val="none"/>
              </w:rPr>
              <w:t xml:space="preserve"> second as the proposed </w:t>
            </w:r>
            <w:r>
              <w:rPr>
                <w:rFonts w:hint="default" w:ascii="Times New Roman" w:hAnsi="Times New Roman" w:eastAsia="宋体" w:cs="Times New Roman"/>
                <w:sz w:val="21"/>
                <w:szCs w:val="21"/>
                <w:highlight w:val="none"/>
                <w:lang w:eastAsia="zh-CN"/>
              </w:rPr>
              <w:t>bid winner</w:t>
            </w:r>
            <w:r>
              <w:rPr>
                <w:rFonts w:hint="default" w:ascii="Times New Roman" w:hAnsi="Times New Roman" w:eastAsia="宋体" w:cs="Times New Roman"/>
                <w:sz w:val="21"/>
                <w:szCs w:val="21"/>
                <w:highlight w:val="none"/>
                <w:lang w:val="en-US" w:eastAsia="zh-CN"/>
              </w:rPr>
              <w:t xml:space="preserve"> when</w:t>
            </w:r>
            <w:r>
              <w:rPr>
                <w:rFonts w:hint="default" w:ascii="Times New Roman" w:hAnsi="Times New Roman" w:eastAsia="宋体" w:cs="Times New Roman"/>
                <w:sz w:val="21"/>
                <w:szCs w:val="21"/>
                <w:highlight w:val="none"/>
              </w:rPr>
              <w:t xml:space="preserve"> the bidder rank</w:t>
            </w:r>
            <w:r>
              <w:rPr>
                <w:rFonts w:hint="default" w:ascii="Times New Roman" w:hAnsi="Times New Roman" w:eastAsia="宋体" w:cs="Times New Roman"/>
                <w:sz w:val="21"/>
                <w:szCs w:val="21"/>
                <w:highlight w:val="none"/>
                <w:lang w:val="en-US" w:eastAsia="zh-CN"/>
              </w:rPr>
              <w:t>ing</w:t>
            </w:r>
            <w:r>
              <w:rPr>
                <w:rFonts w:hint="default" w:ascii="Times New Roman" w:hAnsi="Times New Roman" w:eastAsia="宋体" w:cs="Times New Roman"/>
                <w:sz w:val="21"/>
                <w:szCs w:val="21"/>
                <w:highlight w:val="none"/>
              </w:rPr>
              <w:t xml:space="preserve"> first falls under any of the following circumstances. </w:t>
            </w:r>
            <w:r>
              <w:rPr>
                <w:rFonts w:hint="default" w:ascii="Times New Roman" w:hAnsi="Times New Roman" w:eastAsia="宋体" w:cs="Times New Roman"/>
                <w:sz w:val="21"/>
                <w:szCs w:val="21"/>
                <w:highlight w:val="none"/>
                <w:lang w:eastAsia="zh-CN"/>
              </w:rPr>
              <w:t>T</w:t>
            </w:r>
            <w:r>
              <w:rPr>
                <w:rFonts w:hint="default" w:ascii="Times New Roman" w:hAnsi="Times New Roman" w:eastAsia="宋体" w:cs="Times New Roman"/>
                <w:sz w:val="21"/>
                <w:szCs w:val="21"/>
                <w:highlight w:val="none"/>
              </w:rPr>
              <w:t>he current tender shall be invalidated</w:t>
            </w:r>
            <w:r>
              <w:rPr>
                <w:rFonts w:hint="default"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rPr>
              <w:t>If all bidders fail to meet the recommendation requirements.</w:t>
            </w:r>
            <w:r>
              <w:rPr>
                <w:rFonts w:hint="default" w:ascii="Times New Roman" w:hAnsi="Times New Roman" w:eastAsia="宋体" w:cs="Times New Roman"/>
                <w:sz w:val="21"/>
                <w:szCs w:val="21"/>
                <w:highlight w:val="none"/>
                <w:lang w:val="en-US" w:eastAsia="zh-CN"/>
              </w:rPr>
              <w:t xml:space="preserve"> </w:t>
            </w:r>
          </w:p>
          <w:p w14:paraId="6D73E84F">
            <w:pPr>
              <w:pStyle w:val="8"/>
              <w:keepNext w:val="0"/>
              <w:keepLines w:val="0"/>
              <w:widowControl/>
              <w:numPr>
                <w:ilvl w:val="0"/>
                <w:numId w:val="14"/>
              </w:numPr>
              <w:suppressLineNumbers w:val="0"/>
              <w:spacing w:before="0" w:beforeAutospacing="0" w:after="0" w:afterAutospacing="0" w:line="240" w:lineRule="auto"/>
              <w:ind w:left="0" w:leftChars="0" w:right="0"/>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 xml:space="preserve">The bid evaluation price </w:t>
            </w:r>
            <w:r>
              <w:rPr>
                <w:rFonts w:hint="default" w:ascii="Times New Roman" w:hAnsi="Times New Roman" w:eastAsia="宋体" w:cs="Times New Roman"/>
                <w:sz w:val="21"/>
                <w:szCs w:val="21"/>
                <w:highlight w:val="none"/>
                <w:lang w:eastAsia="zh-CN"/>
              </w:rPr>
              <w:t>p</w:t>
            </w:r>
            <w:r>
              <w:rPr>
                <w:rFonts w:hint="default" w:ascii="Times New Roman" w:hAnsi="Times New Roman" w:eastAsia="宋体" w:cs="Times New Roman"/>
                <w:sz w:val="21"/>
                <w:szCs w:val="21"/>
                <w:highlight w:val="none"/>
                <w:lang w:val="en-US" w:eastAsia="zh-CN"/>
              </w:rPr>
              <w:t>rovided by</w:t>
            </w:r>
            <w:r>
              <w:rPr>
                <w:rFonts w:hint="default" w:ascii="Times New Roman" w:hAnsi="Times New Roman" w:eastAsia="宋体" w:cs="Times New Roman"/>
                <w:sz w:val="21"/>
                <w:szCs w:val="21"/>
                <w:highlight w:val="none"/>
              </w:rPr>
              <w:t xml:space="preserve"> the bidder is 40% or more higher than the average bid evaluation price of all valid bidders;</w:t>
            </w:r>
          </w:p>
          <w:p w14:paraId="02D44560">
            <w:pPr>
              <w:pStyle w:val="8"/>
              <w:keepNext w:val="0"/>
              <w:keepLines w:val="0"/>
              <w:widowControl/>
              <w:numPr>
                <w:ilvl w:val="0"/>
                <w:numId w:val="0"/>
              </w:numPr>
              <w:suppressLineNumbers w:val="0"/>
              <w:spacing w:before="0" w:beforeAutospacing="0" w:after="0" w:afterAutospacing="0" w:line="240" w:lineRule="auto"/>
              <w:ind w:left="0" w:right="0"/>
              <w:jc w:val="both"/>
              <w:rPr>
                <w:rFonts w:hint="default" w:ascii="Times New Roman" w:hAnsi="Times New Roman" w:eastAsia="宋体" w:cs="Times New Roman"/>
                <w:b w:val="0"/>
                <w:bCs w:val="0"/>
                <w:kern w:val="2"/>
                <w:sz w:val="21"/>
                <w:szCs w:val="21"/>
                <w:highlight w:val="none"/>
                <w:lang w:val="en-US" w:eastAsia="zh-CN" w:bidi="ar-SA"/>
              </w:rPr>
            </w:pPr>
            <w:r>
              <w:rPr>
                <w:rFonts w:hint="default" w:ascii="Times New Roman" w:hAnsi="Times New Roman" w:eastAsia="宋体" w:cs="Times New Roman"/>
                <w:sz w:val="21"/>
                <w:szCs w:val="21"/>
                <w:highlight w:val="none"/>
              </w:rPr>
              <w:t xml:space="preserve">(2) The technical score </w:t>
            </w:r>
            <w:r>
              <w:rPr>
                <w:rFonts w:hint="default" w:ascii="Times New Roman" w:hAnsi="Times New Roman" w:eastAsia="宋体" w:cs="Times New Roman"/>
                <w:sz w:val="21"/>
                <w:szCs w:val="21"/>
                <w:highlight w:val="none"/>
                <w:lang w:eastAsia="zh-CN"/>
              </w:rPr>
              <w:t>p</w:t>
            </w:r>
            <w:r>
              <w:rPr>
                <w:rFonts w:hint="default" w:ascii="Times New Roman" w:hAnsi="Times New Roman" w:eastAsia="宋体" w:cs="Times New Roman"/>
                <w:sz w:val="21"/>
                <w:szCs w:val="21"/>
                <w:highlight w:val="none"/>
                <w:lang w:val="en-US" w:eastAsia="zh-CN"/>
              </w:rPr>
              <w:t>rovided by</w:t>
            </w:r>
            <w:r>
              <w:rPr>
                <w:rFonts w:hint="default" w:ascii="Times New Roman" w:hAnsi="Times New Roman" w:eastAsia="宋体" w:cs="Times New Roman"/>
                <w:sz w:val="21"/>
                <w:szCs w:val="21"/>
                <w:highlight w:val="none"/>
              </w:rPr>
              <w:t xml:space="preserve"> the bidder is 30% or more lower than the average technical score of all valid bidders.</w:t>
            </w:r>
          </w:p>
          <w:p w14:paraId="42C166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sz w:val="21"/>
                <w:szCs w:val="21"/>
                <w:highlight w:val="none"/>
                <w:lang w:eastAsia="zh-CN"/>
              </w:rPr>
            </w:pPr>
            <w:r>
              <w:rPr>
                <w:rFonts w:hint="default" w:ascii="Times New Roman" w:hAnsi="Times New Roman" w:cs="Times New Roman"/>
                <w:color w:val="000000"/>
                <w:sz w:val="21"/>
                <w:szCs w:val="21"/>
                <w:highlight w:val="none"/>
              </w:rPr>
              <w:t xml:space="preserve">II. </w:t>
            </w:r>
            <w:r>
              <w:rPr>
                <w:rFonts w:hint="default" w:ascii="Times New Roman" w:hAnsi="Times New Roman" w:cs="Times New Roman"/>
                <w:color w:val="000000"/>
                <w:sz w:val="21"/>
                <w:szCs w:val="21"/>
                <w:highlight w:val="none"/>
                <w:lang w:eastAsia="zh-CN"/>
              </w:rPr>
              <w:t>Scoring Factor</w:t>
            </w:r>
            <w:r>
              <w:rPr>
                <w:rFonts w:hint="default" w:ascii="Times New Roman" w:hAnsi="Times New Roman" w:cs="Times New Roman"/>
                <w:color w:val="000000"/>
                <w:sz w:val="21"/>
                <w:szCs w:val="21"/>
                <w:highlight w:val="none"/>
              </w:rPr>
              <w:t>s and Evaluation Criteria</w:t>
            </w:r>
            <w:r>
              <w:rPr>
                <w:rFonts w:hint="default" w:ascii="Times New Roman" w:hAnsi="Times New Roman" w:cs="Times New Roman"/>
                <w:color w:val="000000"/>
                <w:sz w:val="21"/>
                <w:szCs w:val="21"/>
                <w:highlight w:val="none"/>
                <w:lang w:eastAsia="zh-CN"/>
              </w:rPr>
              <w:t>：</w:t>
            </w:r>
          </w:p>
          <w:p w14:paraId="12FE38F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val="0"/>
                <w:bCs w:val="0"/>
                <w:color w:val="000000"/>
                <w:sz w:val="21"/>
                <w:szCs w:val="21"/>
                <w:highlight w:val="none"/>
                <w:lang w:eastAsia="zh-CN"/>
              </w:rPr>
            </w:pPr>
            <w:r>
              <w:rPr>
                <w:rFonts w:hint="default" w:ascii="Times New Roman" w:hAnsi="Times New Roman" w:cs="Times New Roman"/>
                <w:b w:val="0"/>
                <w:bCs w:val="0"/>
                <w:color w:val="000000"/>
                <w:sz w:val="21"/>
                <w:szCs w:val="21"/>
                <w:highlight w:val="none"/>
              </w:rPr>
              <w:t>Price Evaluation Criteria</w:t>
            </w:r>
            <w:r>
              <w:rPr>
                <w:rFonts w:hint="default" w:ascii="Times New Roman" w:hAnsi="Times New Roman" w:cs="Times New Roman"/>
                <w:b w:val="0"/>
                <w:bCs w:val="0"/>
                <w:color w:val="000000"/>
                <w:sz w:val="21"/>
                <w:szCs w:val="21"/>
                <w:highlight w:val="none"/>
                <w:lang w:eastAsia="zh-CN"/>
              </w:rPr>
              <w:t>：</w:t>
            </w:r>
          </w:p>
          <w:p w14:paraId="42A694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Low-price priority method is adopted for calculation, that is, the bid price that meets the requirements of the tender documents and has the lowest bid evaluation price is taken as the benchmark evaluation value, with a full price score of 100 points. The price score of other bidders shall be calculated uniformly in accordance with the following formula:</w:t>
            </w:r>
          </w:p>
          <w:p w14:paraId="6F3128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Price Score = (Benchmark Evaluation Value / Bid Price) × 100</w:t>
            </w:r>
          </w:p>
          <w:p w14:paraId="7C66CC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p>
          <w:p w14:paraId="5EF6DB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Individual Evaluator's Independent Score = F1×A1＋F2×A2＋……＋Fn×An</w:t>
            </w:r>
          </w:p>
          <w:p w14:paraId="585C05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F1, F2……Fn are respectively the scores of each Scoring Factor; A1, A2,……An are respectively the weight of each Scoring Factor (A1＋A2＋……＋An＝1).</w:t>
            </w:r>
          </w:p>
          <w:p w14:paraId="373384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Bidder's Total Evaluation Scores = Sum of valid independent scores of all bid evaluation committee members / Number of valid evaluators.</w:t>
            </w:r>
          </w:p>
          <w:p w14:paraId="6BFBA5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color w:val="000000"/>
                <w:kern w:val="0"/>
                <w:sz w:val="21"/>
                <w:szCs w:val="21"/>
                <w:highlight w:val="none"/>
                <w:lang w:val="en-US" w:eastAsia="zh-CN" w:bidi="ar"/>
              </w:rPr>
              <w:t>The evaluation value shall be rounded off to a maximum of two decimal places.</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858"/>
              <w:gridCol w:w="1365"/>
              <w:gridCol w:w="781"/>
              <w:gridCol w:w="940"/>
              <w:gridCol w:w="3491"/>
            </w:tblGrid>
            <w:tr w14:paraId="13C5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7" w:type="pct"/>
                  <w:noWrap w:val="0"/>
                  <w:vAlign w:val="center"/>
                </w:tcPr>
                <w:p w14:paraId="30FC0310">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cs="Times New Roman"/>
                      <w:sz w:val="21"/>
                      <w:szCs w:val="21"/>
                      <w:highlight w:val="none"/>
                    </w:rPr>
                    <w:t>Serial number</w:t>
                  </w:r>
                </w:p>
              </w:tc>
              <w:tc>
                <w:tcPr>
                  <w:tcW w:w="2377" w:type="pct"/>
                  <w:gridSpan w:val="4"/>
                  <w:noWrap w:val="0"/>
                  <w:vAlign w:val="center"/>
                </w:tcPr>
                <w:p w14:paraId="51ACDC28">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Scoring</w:t>
                  </w:r>
                  <w:r>
                    <w:rPr>
                      <w:rFonts w:hint="default" w:ascii="Times New Roman" w:hAnsi="Times New Roman" w:eastAsia="宋体" w:cs="Times New Roman"/>
                      <w:sz w:val="21"/>
                      <w:szCs w:val="21"/>
                      <w:highlight w:val="none"/>
                    </w:rPr>
                    <w:t xml:space="preserve"> Item</w:t>
                  </w:r>
                </w:p>
              </w:tc>
              <w:tc>
                <w:tcPr>
                  <w:tcW w:w="2104" w:type="pct"/>
                  <w:noWrap w:val="0"/>
                  <w:vAlign w:val="center"/>
                </w:tcPr>
                <w:p w14:paraId="0CC58F8C">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Weight</w:t>
                  </w:r>
                </w:p>
              </w:tc>
            </w:tr>
            <w:tr w14:paraId="0BC9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7" w:type="pct"/>
                  <w:noWrap w:val="0"/>
                  <w:vAlign w:val="center"/>
                </w:tcPr>
                <w:p w14:paraId="7D7523FC">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p>
              </w:tc>
              <w:tc>
                <w:tcPr>
                  <w:tcW w:w="2377" w:type="pct"/>
                  <w:gridSpan w:val="4"/>
                  <w:noWrap w:val="0"/>
                  <w:vAlign w:val="center"/>
                </w:tcPr>
                <w:p w14:paraId="3B08FB35">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Price</w:t>
                  </w:r>
                </w:p>
              </w:tc>
              <w:tc>
                <w:tcPr>
                  <w:tcW w:w="2104" w:type="pct"/>
                  <w:noWrap w:val="0"/>
                  <w:vAlign w:val="center"/>
                </w:tcPr>
                <w:p w14:paraId="46831469">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30</w:t>
                  </w:r>
                </w:p>
              </w:tc>
            </w:tr>
            <w:tr w14:paraId="29B46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7" w:type="pct"/>
                  <w:vMerge w:val="restart"/>
                  <w:noWrap w:val="0"/>
                  <w:vAlign w:val="center"/>
                </w:tcPr>
                <w:p w14:paraId="343A27FD">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w:t>
                  </w:r>
                </w:p>
              </w:tc>
              <w:tc>
                <w:tcPr>
                  <w:tcW w:w="2377" w:type="pct"/>
                  <w:gridSpan w:val="4"/>
                  <w:noWrap w:val="0"/>
                  <w:vAlign w:val="center"/>
                </w:tcPr>
                <w:p w14:paraId="2C9BC7B2">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val="en-US" w:eastAsia="zh-CN"/>
                    </w:rPr>
                    <w:t>T</w:t>
                  </w:r>
                  <w:r>
                    <w:rPr>
                      <w:rFonts w:hint="default" w:ascii="Times New Roman" w:hAnsi="Times New Roman" w:eastAsia="宋体" w:cs="Times New Roman"/>
                      <w:sz w:val="21"/>
                      <w:szCs w:val="21"/>
                      <w:highlight w:val="none"/>
                      <w:lang w:eastAsia="zh-CN"/>
                    </w:rPr>
                    <w:t>echnique</w:t>
                  </w:r>
                </w:p>
              </w:tc>
              <w:tc>
                <w:tcPr>
                  <w:tcW w:w="2104" w:type="pct"/>
                  <w:noWrap w:val="0"/>
                  <w:vAlign w:val="center"/>
                </w:tcPr>
                <w:p w14:paraId="65ADB680">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15</w:t>
                  </w:r>
                </w:p>
              </w:tc>
            </w:tr>
            <w:tr w14:paraId="3E36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517" w:type="pct"/>
                  <w:vMerge w:val="continue"/>
                  <w:noWrap w:val="0"/>
                  <w:vAlign w:val="center"/>
                </w:tcPr>
                <w:p w14:paraId="48C9F661">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p>
              </w:tc>
              <w:tc>
                <w:tcPr>
                  <w:tcW w:w="517" w:type="pct"/>
                  <w:noWrap w:val="0"/>
                  <w:vAlign w:val="center"/>
                </w:tcPr>
                <w:p w14:paraId="5D2F617F">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cs="Times New Roman"/>
                      <w:sz w:val="21"/>
                      <w:szCs w:val="21"/>
                      <w:highlight w:val="none"/>
                    </w:rPr>
                    <w:t>Serial number</w:t>
                  </w:r>
                </w:p>
              </w:tc>
              <w:tc>
                <w:tcPr>
                  <w:tcW w:w="822" w:type="pct"/>
                  <w:noWrap w:val="0"/>
                  <w:vAlign w:val="center"/>
                </w:tcPr>
                <w:p w14:paraId="3C02CED5">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Scoring</w:t>
                  </w:r>
                  <w:r>
                    <w:rPr>
                      <w:rFonts w:hint="default" w:ascii="Times New Roman" w:hAnsi="Times New Roman" w:eastAsia="宋体" w:cs="Times New Roman"/>
                      <w:sz w:val="21"/>
                      <w:szCs w:val="21"/>
                      <w:highlight w:val="none"/>
                    </w:rPr>
                    <w:t xml:space="preserve"> Factor</w:t>
                  </w:r>
                </w:p>
              </w:tc>
              <w:tc>
                <w:tcPr>
                  <w:tcW w:w="470" w:type="pct"/>
                  <w:noWrap w:val="0"/>
                  <w:vAlign w:val="center"/>
                </w:tcPr>
                <w:p w14:paraId="1A7E45DF">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Weight</w:t>
                  </w:r>
                </w:p>
              </w:tc>
              <w:tc>
                <w:tcPr>
                  <w:tcW w:w="566" w:type="pct"/>
                  <w:noWrap w:val="0"/>
                  <w:vAlign w:val="center"/>
                </w:tcPr>
                <w:p w14:paraId="03AFBF83">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Scoring Method</w:t>
                  </w:r>
                </w:p>
              </w:tc>
              <w:tc>
                <w:tcPr>
                  <w:tcW w:w="2104" w:type="pct"/>
                  <w:noWrap w:val="0"/>
                  <w:vAlign w:val="center"/>
                </w:tcPr>
                <w:p w14:paraId="6E64C85C">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Scoring Criteria</w:t>
                  </w:r>
                </w:p>
              </w:tc>
            </w:tr>
            <w:tr w14:paraId="69DF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7" w:type="pct"/>
                  <w:vMerge w:val="continue"/>
                  <w:noWrap w:val="0"/>
                  <w:vAlign w:val="center"/>
                </w:tcPr>
                <w:p w14:paraId="35A7BBB2">
                  <w:pPr>
                    <w:keepNext/>
                    <w:keepLines/>
                    <w:widowControl/>
                    <w:suppressLineNumbers w:val="0"/>
                    <w:spacing w:before="260" w:beforeAutospacing="0" w:after="260" w:afterAutospacing="0" w:line="240" w:lineRule="exact"/>
                    <w:ind w:left="0" w:right="0"/>
                    <w:jc w:val="center"/>
                    <w:outlineLvl w:val="2"/>
                    <w:rPr>
                      <w:rFonts w:hint="default" w:ascii="Times New Roman" w:hAnsi="Times New Roman" w:eastAsia="宋体" w:cs="Times New Roman"/>
                      <w:sz w:val="24"/>
                      <w:szCs w:val="24"/>
                      <w:highlight w:val="none"/>
                    </w:rPr>
                  </w:pPr>
                </w:p>
              </w:tc>
              <w:tc>
                <w:tcPr>
                  <w:tcW w:w="517" w:type="pct"/>
                  <w:noWrap w:val="0"/>
                  <w:vAlign w:val="center"/>
                </w:tcPr>
                <w:p w14:paraId="64FFBE6D">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val="en-US" w:eastAsia="zh-CN"/>
                    </w:rPr>
                    <w:t>1</w:t>
                  </w:r>
                </w:p>
              </w:tc>
              <w:tc>
                <w:tcPr>
                  <w:tcW w:w="822" w:type="pct"/>
                  <w:noWrap w:val="0"/>
                  <w:vAlign w:val="center"/>
                </w:tcPr>
                <w:p w14:paraId="3DB25CC2">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Deviation of Technical Specifications</w:t>
                  </w:r>
                </w:p>
              </w:tc>
              <w:tc>
                <w:tcPr>
                  <w:tcW w:w="470" w:type="pct"/>
                  <w:noWrap w:val="0"/>
                  <w:vAlign w:val="center"/>
                </w:tcPr>
                <w:p w14:paraId="3949FE6F">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15</w:t>
                  </w:r>
                </w:p>
              </w:tc>
              <w:tc>
                <w:tcPr>
                  <w:tcW w:w="566" w:type="pct"/>
                  <w:noWrap w:val="0"/>
                  <w:vAlign w:val="center"/>
                </w:tcPr>
                <w:p w14:paraId="61C41890">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Expert Scoring</w:t>
                  </w:r>
                </w:p>
              </w:tc>
              <w:tc>
                <w:tcPr>
                  <w:tcW w:w="2104" w:type="pct"/>
                  <w:noWrap w:val="0"/>
                  <w:vAlign w:val="center"/>
                </w:tcPr>
                <w:p w14:paraId="6E4205ED">
                  <w:pPr>
                    <w:keepNext w:val="0"/>
                    <w:keepLines w:val="0"/>
                    <w:widowControl/>
                    <w:suppressLineNumbers w:val="0"/>
                    <w:pBdr>
                      <w:top w:val="none" w:color="auto" w:sz="0" w:space="0"/>
                      <w:left w:val="none" w:color="auto" w:sz="0" w:space="0"/>
                      <w:right w:val="none" w:color="auto" w:sz="0" w:space="0"/>
                    </w:pBdr>
                    <w:spacing w:before="0" w:beforeAutospacing="0" w:after="0" w:afterAutospacing="0"/>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w:t>
                  </w:r>
                  <w:r>
                    <w:rPr>
                      <w:rFonts w:hint="eastAsia" w:ascii="Times New Roman" w:hAnsi="Times New Roman" w:cs="Times New Roman"/>
                      <w:color w:val="000000"/>
                      <w:sz w:val="21"/>
                      <w:szCs w:val="21"/>
                      <w:highlight w:val="none"/>
                      <w:lang w:val="en-US" w:eastAsia="zh-CN"/>
                    </w:rPr>
                    <w:t>1</w:t>
                  </w:r>
                  <w:r>
                    <w:rPr>
                      <w:rFonts w:hint="default" w:ascii="Times New Roman" w:hAnsi="Times New Roman" w:cs="Times New Roman"/>
                      <w:color w:val="000000"/>
                      <w:sz w:val="21"/>
                      <w:szCs w:val="21"/>
                      <w:highlight w:val="none"/>
                    </w:rPr>
                    <w:t>) Evaluation Content</w:t>
                  </w:r>
                </w:p>
                <w:p w14:paraId="781688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 xml:space="preserve">The evaluation shall be based on the </w:t>
                  </w:r>
                  <w:r>
                    <w:rPr>
                      <w:rStyle w:val="18"/>
                      <w:rFonts w:hint="default" w:ascii="Times New Roman" w:hAnsi="Times New Roman" w:eastAsia="宋体" w:cs="Times New Roman"/>
                      <w:b w:val="0"/>
                      <w:bCs w:val="0"/>
                      <w:color w:val="000000"/>
                      <w:kern w:val="0"/>
                      <w:sz w:val="21"/>
                      <w:szCs w:val="21"/>
                      <w:highlight w:val="none"/>
                      <w:lang w:val="en-US" w:eastAsia="zh-CN" w:bidi="ar"/>
                    </w:rPr>
                    <w:t>Technical Specification Response/Deviation Form</w:t>
                  </w:r>
                  <w:r>
                    <w:rPr>
                      <w:rFonts w:hint="default" w:ascii="Times New Roman" w:hAnsi="Times New Roman" w:eastAsia="宋体" w:cs="Times New Roman"/>
                      <w:color w:val="000000"/>
                      <w:kern w:val="0"/>
                      <w:sz w:val="21"/>
                      <w:szCs w:val="21"/>
                      <w:highlight w:val="none"/>
                      <w:lang w:val="en-US" w:eastAsia="zh-CN" w:bidi="ar"/>
                    </w:rPr>
                    <w:t xml:space="preserve"> in the bid documents. A full score of 100 points is given if all technical parameter indicators and requirements are fully responded without any deviation. Any negative deviation in any important clause (parameter) marked with an asterisk ("*") will render the bid invalid. For negative deviation in other parameters, 10 points will be deducted for each item until the score is completely deducted.</w:t>
                  </w:r>
                </w:p>
                <w:p w14:paraId="622D49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If a bidder involves two or more negative deviations for one technical parameter (subject to the division frame specified in the technical requirements of the tender documents), scoring and point deduction will be made on the basis of only one single negative deviation.</w:t>
                  </w:r>
                </w:p>
                <w:p w14:paraId="6652D0F4">
                  <w:pPr>
                    <w:keepNext w:val="0"/>
                    <w:keepLines w:val="0"/>
                    <w:widowControl/>
                    <w:suppressLineNumbers w:val="0"/>
                    <w:pBdr>
                      <w:top w:val="none" w:color="auto" w:sz="0" w:space="0"/>
                      <w:left w:val="none" w:color="auto" w:sz="0" w:space="0"/>
                      <w:right w:val="none" w:color="auto" w:sz="0" w:space="0"/>
                    </w:pBdr>
                    <w:spacing w:before="0" w:beforeAutospacing="0" w:after="0" w:afterAutospacing="0"/>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w:t>
                  </w:r>
                  <w:r>
                    <w:rPr>
                      <w:rFonts w:hint="eastAsia" w:ascii="Times New Roman" w:hAnsi="Times New Roman" w:cs="Times New Roman"/>
                      <w:color w:val="000000"/>
                      <w:sz w:val="21"/>
                      <w:szCs w:val="21"/>
                      <w:highlight w:val="none"/>
                      <w:lang w:val="en-US" w:eastAsia="zh-CN"/>
                    </w:rPr>
                    <w:t>2</w:t>
                  </w:r>
                  <w:r>
                    <w:rPr>
                      <w:rFonts w:hint="default" w:ascii="Times New Roman" w:hAnsi="Times New Roman" w:cs="Times New Roman"/>
                      <w:color w:val="000000"/>
                      <w:sz w:val="21"/>
                      <w:szCs w:val="21"/>
                      <w:highlight w:val="none"/>
                    </w:rPr>
                    <w:t>) Evaluation Basis</w:t>
                  </w:r>
                </w:p>
                <w:p w14:paraId="3ABD9C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 xml:space="preserve">The bidder shall truthfully fill in the </w:t>
                  </w:r>
                  <w:r>
                    <w:rPr>
                      <w:rStyle w:val="18"/>
                      <w:rFonts w:hint="default" w:ascii="Times New Roman" w:hAnsi="Times New Roman" w:eastAsia="宋体" w:cs="Times New Roman"/>
                      <w:b w:val="0"/>
                      <w:bCs w:val="0"/>
                      <w:color w:val="000000"/>
                      <w:kern w:val="0"/>
                      <w:sz w:val="21"/>
                      <w:szCs w:val="21"/>
                      <w:highlight w:val="none"/>
                      <w:lang w:val="en-US" w:eastAsia="zh-CN" w:bidi="ar"/>
                    </w:rPr>
                    <w:t>Technical Specification Response/Deviation Form</w:t>
                  </w:r>
                  <w:r>
                    <w:rPr>
                      <w:rFonts w:hint="default" w:ascii="Times New Roman" w:hAnsi="Times New Roman" w:eastAsia="宋体" w:cs="Times New Roman"/>
                      <w:color w:val="000000"/>
                      <w:kern w:val="0"/>
                      <w:sz w:val="21"/>
                      <w:szCs w:val="21"/>
                      <w:highlight w:val="none"/>
                      <w:lang w:val="en-US" w:eastAsia="zh-CN" w:bidi="ar"/>
                    </w:rPr>
                    <w:t xml:space="preserve"> and, if the tender documents require supporting documents, shall provide scanned copies of the corresponding supporting documents (the original shall be kept for inspection) and specify the exact position of the supporting documents in the bid documents. In case the supporting documents are inconsistent with the contents filled in the deviation form, or valid supporting documents are not provided, the specific position of the supporting documents in the bid documents is not indicated, or the provided supporting documents are incomplete or unclear, the relevant technical indicator shall be deemed as a negative deviation.</w:t>
                  </w:r>
                </w:p>
                <w:p w14:paraId="622334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color w:val="000000"/>
                      <w:kern w:val="0"/>
                      <w:sz w:val="21"/>
                      <w:szCs w:val="21"/>
                      <w:highlight w:val="none"/>
                      <w:lang w:val="en-US" w:eastAsia="zh-CN" w:bidi="ar"/>
                    </w:rPr>
                    <w:t>Special Reminder: The bidder’s response and deviation of technical parameters shall be consistent with objective facts. Any false response with serious circumstances, once verified, shall be recorded in the supplier integrity file in accordance with laws or subject to administrative punishment.</w:t>
                  </w:r>
                </w:p>
              </w:tc>
            </w:tr>
            <w:tr w14:paraId="05E40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17" w:type="pct"/>
                  <w:vMerge w:val="restart"/>
                  <w:noWrap w:val="0"/>
                  <w:vAlign w:val="center"/>
                </w:tcPr>
                <w:p w14:paraId="25463283">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3</w:t>
                  </w:r>
                </w:p>
              </w:tc>
              <w:tc>
                <w:tcPr>
                  <w:tcW w:w="2377" w:type="pct"/>
                  <w:gridSpan w:val="4"/>
                  <w:noWrap w:val="0"/>
                  <w:vAlign w:val="center"/>
                </w:tcPr>
                <w:p w14:paraId="1B0C5FDB">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Service</w:t>
                  </w:r>
                </w:p>
              </w:tc>
              <w:tc>
                <w:tcPr>
                  <w:tcW w:w="2104" w:type="pct"/>
                  <w:noWrap w:val="0"/>
                  <w:vAlign w:val="center"/>
                </w:tcPr>
                <w:p w14:paraId="4597E206">
                  <w:pPr>
                    <w:keepNext w:val="0"/>
                    <w:keepLines w:val="0"/>
                    <w:widowControl/>
                    <w:suppressLineNumbers w:val="0"/>
                    <w:spacing w:before="0" w:beforeAutospacing="0" w:after="0" w:afterAutospacing="0" w:line="240" w:lineRule="exact"/>
                    <w:ind w:left="0" w:right="0"/>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20</w:t>
                  </w:r>
                </w:p>
              </w:tc>
            </w:tr>
            <w:tr w14:paraId="056F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7" w:type="pct"/>
                  <w:vMerge w:val="continue"/>
                  <w:noWrap w:val="0"/>
                  <w:vAlign w:val="center"/>
                </w:tcPr>
                <w:p w14:paraId="700957DF">
                  <w:pPr>
                    <w:keepNext/>
                    <w:keepLines/>
                    <w:widowControl/>
                    <w:suppressLineNumbers w:val="0"/>
                    <w:spacing w:before="340" w:beforeAutospacing="0" w:after="330" w:afterAutospacing="0" w:line="240" w:lineRule="exact"/>
                    <w:ind w:left="0" w:right="0"/>
                    <w:jc w:val="center"/>
                    <w:outlineLvl w:val="0"/>
                    <w:rPr>
                      <w:rFonts w:hint="default" w:ascii="Times New Roman" w:hAnsi="Times New Roman" w:eastAsia="宋体" w:cs="Times New Roman"/>
                      <w:sz w:val="24"/>
                      <w:szCs w:val="24"/>
                      <w:highlight w:val="none"/>
                    </w:rPr>
                  </w:pPr>
                </w:p>
              </w:tc>
              <w:tc>
                <w:tcPr>
                  <w:tcW w:w="517" w:type="pct"/>
                  <w:noWrap w:val="0"/>
                  <w:vAlign w:val="center"/>
                </w:tcPr>
                <w:p w14:paraId="33542A3A">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cs="Times New Roman"/>
                      <w:sz w:val="21"/>
                      <w:szCs w:val="21"/>
                      <w:highlight w:val="none"/>
                    </w:rPr>
                    <w:t>Serial number</w:t>
                  </w:r>
                </w:p>
              </w:tc>
              <w:tc>
                <w:tcPr>
                  <w:tcW w:w="822" w:type="pct"/>
                  <w:noWrap w:val="0"/>
                  <w:vAlign w:val="center"/>
                </w:tcPr>
                <w:p w14:paraId="4FD7A40F">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Scoring Factor</w:t>
                  </w:r>
                </w:p>
              </w:tc>
              <w:tc>
                <w:tcPr>
                  <w:tcW w:w="470" w:type="pct"/>
                  <w:noWrap w:val="0"/>
                  <w:vAlign w:val="center"/>
                </w:tcPr>
                <w:p w14:paraId="500D4C32">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Weight</w:t>
                  </w:r>
                </w:p>
              </w:tc>
              <w:tc>
                <w:tcPr>
                  <w:tcW w:w="566" w:type="pct"/>
                  <w:noWrap w:val="0"/>
                  <w:vAlign w:val="center"/>
                </w:tcPr>
                <w:p w14:paraId="1A64BBD3">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Scoring Method</w:t>
                  </w:r>
                </w:p>
              </w:tc>
              <w:tc>
                <w:tcPr>
                  <w:tcW w:w="2104" w:type="pct"/>
                  <w:noWrap w:val="0"/>
                  <w:vAlign w:val="center"/>
                </w:tcPr>
                <w:p w14:paraId="17E18F65">
                  <w:pPr>
                    <w:keepNext w:val="0"/>
                    <w:keepLines w:val="0"/>
                    <w:widowControl/>
                    <w:suppressLineNumbers w:val="0"/>
                    <w:spacing w:before="0" w:beforeAutospacing="0" w:after="0" w:afterAutospacing="0" w:line="240" w:lineRule="exact"/>
                    <w:ind w:left="0" w:right="0"/>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Scoring Criteria</w:t>
                  </w:r>
                </w:p>
              </w:tc>
            </w:tr>
            <w:tr w14:paraId="75B0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7" w:type="pct"/>
                  <w:vMerge w:val="continue"/>
                  <w:noWrap w:val="0"/>
                  <w:vAlign w:val="center"/>
                </w:tcPr>
                <w:p w14:paraId="4A22C781">
                  <w:pPr>
                    <w:keepNext w:val="0"/>
                    <w:keepLines w:val="0"/>
                    <w:widowControl/>
                    <w:suppressLineNumbers w:val="0"/>
                    <w:spacing w:before="0" w:beforeAutospacing="0" w:after="0" w:afterAutospacing="0"/>
                    <w:ind w:left="0" w:right="0"/>
                    <w:rPr>
                      <w:rFonts w:hint="default" w:ascii="Times New Roman" w:hAnsi="Times New Roman" w:eastAsia="宋体" w:cs="Times New Roman"/>
                      <w:sz w:val="24"/>
                      <w:szCs w:val="24"/>
                      <w:highlight w:val="none"/>
                    </w:rPr>
                  </w:pPr>
                </w:p>
              </w:tc>
              <w:tc>
                <w:tcPr>
                  <w:tcW w:w="517" w:type="pct"/>
                  <w:noWrap w:val="0"/>
                  <w:vAlign w:val="center"/>
                </w:tcPr>
                <w:p w14:paraId="1C171976">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822" w:type="pct"/>
                  <w:noWrap w:val="0"/>
                  <w:vAlign w:val="center"/>
                </w:tcPr>
                <w:p w14:paraId="65B52992">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After-sales Service Commitment</w:t>
                  </w:r>
                </w:p>
              </w:tc>
              <w:tc>
                <w:tcPr>
                  <w:tcW w:w="470" w:type="pct"/>
                  <w:noWrap w:val="0"/>
                  <w:vAlign w:val="center"/>
                </w:tcPr>
                <w:p w14:paraId="5599F1AE">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10</w:t>
                  </w:r>
                </w:p>
              </w:tc>
              <w:tc>
                <w:tcPr>
                  <w:tcW w:w="566" w:type="pct"/>
                  <w:noWrap w:val="0"/>
                  <w:vAlign w:val="center"/>
                </w:tcPr>
                <w:p w14:paraId="61CAA2C6">
                  <w:pPr>
                    <w:keepNext w:val="0"/>
                    <w:keepLines w:val="0"/>
                    <w:widowControl/>
                    <w:suppressLineNumbers w:val="0"/>
                    <w:spacing w:before="0" w:beforeAutospacing="0" w:after="0" w:afterAutospacing="0"/>
                    <w:ind w:left="0" w:right="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Expert Scoring</w:t>
                  </w:r>
                </w:p>
              </w:tc>
              <w:tc>
                <w:tcPr>
                  <w:tcW w:w="2104" w:type="pct"/>
                  <w:noWrap w:val="0"/>
                  <w:vAlign w:val="center"/>
                </w:tcPr>
                <w:p w14:paraId="4BC43AF0">
                  <w:pPr>
                    <w:keepNext w:val="0"/>
                    <w:keepLines w:val="0"/>
                    <w:widowControl/>
                    <w:numPr>
                      <w:ilvl w:val="0"/>
                      <w:numId w:val="0"/>
                    </w:numPr>
                    <w:suppressLineNumbers w:val="0"/>
                    <w:pBdr>
                      <w:top w:val="none" w:color="auto" w:sz="0" w:space="0"/>
                      <w:left w:val="none" w:color="auto" w:sz="0" w:space="0"/>
                      <w:right w:val="none" w:color="auto" w:sz="0" w:space="0"/>
                    </w:pBdr>
                    <w:spacing w:before="0" w:beforeAutospacing="0" w:after="0" w:afterAutospacing="0"/>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w:t>
                  </w:r>
                  <w:r>
                    <w:rPr>
                      <w:rFonts w:hint="default" w:ascii="Times New Roman" w:hAnsi="Times New Roman" w:cs="Times New Roman"/>
                      <w:color w:val="000000"/>
                      <w:sz w:val="21"/>
                      <w:szCs w:val="21"/>
                      <w:highlight w:val="none"/>
                      <w:lang w:val="en-US" w:eastAsia="zh-CN"/>
                    </w:rPr>
                    <w:t>1</w:t>
                  </w:r>
                  <w:r>
                    <w:rPr>
                      <w:rFonts w:hint="default" w:ascii="Times New Roman" w:hAnsi="Times New Roman" w:cs="Times New Roman"/>
                      <w:color w:val="000000"/>
                      <w:sz w:val="21"/>
                      <w:szCs w:val="21"/>
                      <w:highlight w:val="none"/>
                    </w:rPr>
                    <w:t>) Scoring Content</w:t>
                  </w:r>
                </w:p>
                <w:p w14:paraId="61583FB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lang w:val="en-US" w:eastAsia="zh-CN"/>
                    </w:rPr>
                    <w:t xml:space="preserve">1. </w:t>
                  </w:r>
                  <w:r>
                    <w:rPr>
                      <w:rFonts w:hint="default" w:ascii="Times New Roman" w:hAnsi="Times New Roman" w:cs="Times New Roman"/>
                      <w:color w:val="000000"/>
                      <w:sz w:val="21"/>
                      <w:szCs w:val="21"/>
                      <w:highlight w:val="none"/>
                    </w:rPr>
                    <w:t>The bidder shall provide after-sales service management engineers and professional technical personnel relevant to the equipment.</w:t>
                  </w:r>
                </w:p>
                <w:p w14:paraId="7669441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lang w:val="en-US" w:eastAsia="zh-CN"/>
                    </w:rPr>
                    <w:t xml:space="preserve">2. </w:t>
                  </w:r>
                  <w:r>
                    <w:rPr>
                      <w:rFonts w:hint="default" w:ascii="Times New Roman" w:hAnsi="Times New Roman" w:cs="Times New Roman"/>
                      <w:color w:val="000000"/>
                      <w:sz w:val="21"/>
                      <w:szCs w:val="21"/>
                      <w:highlight w:val="none"/>
                    </w:rPr>
                    <w:t xml:space="preserve">In case of product faults, the </w:t>
                  </w:r>
                  <w:r>
                    <w:rPr>
                      <w:rFonts w:hint="default" w:ascii="Times New Roman" w:hAnsi="Times New Roman" w:cs="Times New Roman"/>
                      <w:color w:val="000000"/>
                      <w:sz w:val="21"/>
                      <w:szCs w:val="21"/>
                      <w:highlight w:val="none"/>
                      <w:lang w:eastAsia="zh-CN"/>
                    </w:rPr>
                    <w:t>bid winner</w:t>
                  </w:r>
                  <w:r>
                    <w:rPr>
                      <w:rFonts w:hint="default" w:ascii="Times New Roman" w:hAnsi="Times New Roman" w:cs="Times New Roman"/>
                      <w:color w:val="000000"/>
                      <w:sz w:val="21"/>
                      <w:szCs w:val="21"/>
                      <w:highlight w:val="none"/>
                    </w:rPr>
                    <w:t xml:space="preserve"> shall arrange personnel to arrive at the site within 48 hours as required by the </w:t>
                  </w:r>
                  <w:r>
                    <w:rPr>
                      <w:rFonts w:hint="default" w:ascii="Times New Roman" w:hAnsi="Times New Roman" w:cs="Times New Roman"/>
                      <w:color w:val="000000"/>
                      <w:sz w:val="21"/>
                      <w:szCs w:val="21"/>
                      <w:highlight w:val="none"/>
                      <w:lang w:eastAsia="zh-CN"/>
                    </w:rPr>
                    <w:t>tenderee</w:t>
                  </w:r>
                  <w:r>
                    <w:rPr>
                      <w:rFonts w:hint="default" w:ascii="Times New Roman" w:hAnsi="Times New Roman" w:cs="Times New Roman"/>
                      <w:color w:val="000000"/>
                      <w:sz w:val="21"/>
                      <w:szCs w:val="21"/>
                      <w:highlight w:val="none"/>
                    </w:rPr>
                    <w:t>.</w:t>
                  </w:r>
                </w:p>
                <w:p w14:paraId="1D124E8A">
                  <w:pPr>
                    <w:keepNext w:val="0"/>
                    <w:keepLines w:val="0"/>
                    <w:widowControl/>
                    <w:numPr>
                      <w:ilvl w:val="0"/>
                      <w:numId w:val="0"/>
                    </w:numPr>
                    <w:suppressLineNumbers w:val="0"/>
                    <w:pBdr>
                      <w:top w:val="none" w:color="auto" w:sz="0" w:space="0"/>
                      <w:left w:val="none" w:color="auto" w:sz="0" w:space="0"/>
                      <w:right w:val="none" w:color="auto" w:sz="0" w:space="0"/>
                    </w:pBdr>
                    <w:spacing w:before="0" w:beforeAutospacing="0" w:after="0" w:afterAutospacing="0"/>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w:t>
                  </w:r>
                  <w:r>
                    <w:rPr>
                      <w:rFonts w:hint="default" w:ascii="Times New Roman" w:hAnsi="Times New Roman" w:cs="Times New Roman"/>
                      <w:color w:val="000000"/>
                      <w:sz w:val="21"/>
                      <w:szCs w:val="21"/>
                      <w:highlight w:val="none"/>
                      <w:lang w:val="en-US" w:eastAsia="zh-CN"/>
                    </w:rPr>
                    <w:t>2</w:t>
                  </w:r>
                  <w:r>
                    <w:rPr>
                      <w:rFonts w:hint="default" w:ascii="Times New Roman" w:hAnsi="Times New Roman" w:cs="Times New Roman"/>
                      <w:color w:val="000000"/>
                      <w:sz w:val="21"/>
                      <w:szCs w:val="21"/>
                      <w:highlight w:val="none"/>
                    </w:rPr>
                    <w:t>) Scoring Criteria</w:t>
                  </w:r>
                </w:p>
                <w:p w14:paraId="0480819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lang w:val="en-US" w:eastAsia="zh-CN"/>
                    </w:rPr>
                    <w:t xml:space="preserve">1. </w:t>
                  </w:r>
                  <w:r>
                    <w:rPr>
                      <w:rFonts w:hint="default" w:ascii="Times New Roman" w:hAnsi="Times New Roman" w:cs="Times New Roman"/>
                      <w:color w:val="000000"/>
                      <w:sz w:val="21"/>
                      <w:szCs w:val="21"/>
                      <w:highlight w:val="none"/>
                    </w:rPr>
                    <w:t xml:space="preserve">The bidder shall provide a commitment letter (self-drafted format) in response to the above requirements. A full score of 100 points </w:t>
                  </w:r>
                  <w:r>
                    <w:rPr>
                      <w:rFonts w:hint="default" w:ascii="Times New Roman" w:hAnsi="Times New Roman" w:cs="Times New Roman"/>
                      <w:color w:val="000000"/>
                      <w:sz w:val="21"/>
                      <w:szCs w:val="21"/>
                      <w:highlight w:val="none"/>
                      <w:lang w:val="en-US" w:eastAsia="zh-CN"/>
                    </w:rPr>
                    <w:t>is</w:t>
                  </w:r>
                  <w:r>
                    <w:rPr>
                      <w:rFonts w:hint="default" w:ascii="Times New Roman" w:hAnsi="Times New Roman" w:cs="Times New Roman"/>
                      <w:color w:val="000000"/>
                      <w:sz w:val="21"/>
                      <w:szCs w:val="21"/>
                      <w:highlight w:val="none"/>
                    </w:rPr>
                    <w:t xml:space="preserve"> a</w:t>
                  </w:r>
                  <w:r>
                    <w:rPr>
                      <w:rFonts w:hint="default" w:ascii="Times New Roman" w:hAnsi="Times New Roman" w:cs="Times New Roman"/>
                      <w:color w:val="000000"/>
                      <w:sz w:val="21"/>
                      <w:szCs w:val="21"/>
                      <w:highlight w:val="none"/>
                      <w:lang w:val="en-US" w:eastAsia="zh-CN"/>
                    </w:rPr>
                    <w:t>ssign</w:t>
                  </w:r>
                  <w:r>
                    <w:rPr>
                      <w:rFonts w:hint="default" w:ascii="Times New Roman" w:hAnsi="Times New Roman" w:cs="Times New Roman"/>
                      <w:color w:val="000000"/>
                      <w:sz w:val="21"/>
                      <w:szCs w:val="21"/>
                      <w:highlight w:val="none"/>
                    </w:rPr>
                    <w:t xml:space="preserve">ed if the commitment letter fully meets the above two requirements; 50 points </w:t>
                  </w:r>
                  <w:r>
                    <w:rPr>
                      <w:rFonts w:hint="default" w:ascii="Times New Roman" w:hAnsi="Times New Roman" w:cs="Times New Roman"/>
                      <w:color w:val="000000"/>
                      <w:sz w:val="21"/>
                      <w:szCs w:val="21"/>
                      <w:highlight w:val="none"/>
                      <w:lang w:val="en-US" w:eastAsia="zh-CN"/>
                    </w:rPr>
                    <w:t xml:space="preserve">is </w:t>
                  </w:r>
                  <w:r>
                    <w:rPr>
                      <w:rFonts w:hint="default" w:ascii="Times New Roman" w:hAnsi="Times New Roman" w:cs="Times New Roman"/>
                      <w:color w:val="000000"/>
                      <w:sz w:val="21"/>
                      <w:szCs w:val="21"/>
                      <w:highlight w:val="none"/>
                    </w:rPr>
                    <w:t>deducted for each unmet item until the score is exhausted, with a minimum score of 0 points.</w:t>
                  </w:r>
                </w:p>
                <w:p w14:paraId="23A897F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sz w:val="21"/>
                      <w:szCs w:val="21"/>
                      <w:highlight w:val="none"/>
                    </w:rPr>
                  </w:pPr>
                  <w:r>
                    <w:rPr>
                      <w:rFonts w:hint="default" w:ascii="Times New Roman" w:hAnsi="Times New Roman" w:cs="Times New Roman"/>
                      <w:color w:val="000000"/>
                      <w:sz w:val="21"/>
                      <w:szCs w:val="21"/>
                      <w:highlight w:val="none"/>
                      <w:lang w:val="en-US" w:eastAsia="zh-CN"/>
                    </w:rPr>
                    <w:t xml:space="preserve">2. </w:t>
                  </w:r>
                  <w:r>
                    <w:rPr>
                      <w:rFonts w:hint="default" w:ascii="Times New Roman" w:hAnsi="Times New Roman" w:cs="Times New Roman"/>
                      <w:color w:val="000000"/>
                      <w:sz w:val="21"/>
                      <w:szCs w:val="21"/>
                      <w:highlight w:val="none"/>
                    </w:rPr>
                    <w:t>No points will be a</w:t>
                  </w:r>
                  <w:r>
                    <w:rPr>
                      <w:rFonts w:hint="default" w:ascii="Times New Roman" w:hAnsi="Times New Roman" w:cs="Times New Roman"/>
                      <w:color w:val="000000"/>
                      <w:sz w:val="21"/>
                      <w:szCs w:val="21"/>
                      <w:highlight w:val="none"/>
                      <w:lang w:val="en-US" w:eastAsia="zh-CN"/>
                    </w:rPr>
                    <w:t>ssign</w:t>
                  </w:r>
                  <w:r>
                    <w:rPr>
                      <w:rFonts w:hint="default" w:ascii="Times New Roman" w:hAnsi="Times New Roman" w:cs="Times New Roman"/>
                      <w:color w:val="000000"/>
                      <w:sz w:val="21"/>
                      <w:szCs w:val="21"/>
                      <w:highlight w:val="none"/>
                    </w:rPr>
                    <w:t>ed if no commitment is provided or the commitment fails to meet the requirements.</w:t>
                  </w:r>
                </w:p>
              </w:tc>
            </w:tr>
            <w:tr w14:paraId="0CC28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17" w:type="pct"/>
                  <w:vMerge w:val="continue"/>
                  <w:noWrap w:val="0"/>
                  <w:vAlign w:val="center"/>
                </w:tcPr>
                <w:p w14:paraId="38B2F386">
                  <w:pPr>
                    <w:keepNext/>
                    <w:keepLines/>
                    <w:widowControl/>
                    <w:suppressLineNumbers w:val="0"/>
                    <w:spacing w:before="260" w:beforeAutospacing="0" w:after="260" w:afterAutospacing="0" w:line="240" w:lineRule="exact"/>
                    <w:ind w:left="0" w:right="0"/>
                    <w:jc w:val="center"/>
                    <w:outlineLvl w:val="2"/>
                    <w:rPr>
                      <w:rFonts w:hint="default" w:ascii="Times New Roman" w:hAnsi="Times New Roman" w:eastAsia="宋体" w:cs="Times New Roman"/>
                      <w:sz w:val="24"/>
                      <w:szCs w:val="24"/>
                      <w:highlight w:val="none"/>
                    </w:rPr>
                  </w:pPr>
                </w:p>
              </w:tc>
              <w:tc>
                <w:tcPr>
                  <w:tcW w:w="517" w:type="pct"/>
                  <w:noWrap w:val="0"/>
                  <w:vAlign w:val="center"/>
                </w:tcPr>
                <w:p w14:paraId="2C20E597">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val="en-US" w:eastAsia="zh-CN"/>
                    </w:rPr>
                    <w:t>2</w:t>
                  </w:r>
                </w:p>
              </w:tc>
              <w:tc>
                <w:tcPr>
                  <w:tcW w:w="822" w:type="pct"/>
                  <w:noWrap w:val="0"/>
                  <w:vAlign w:val="center"/>
                </w:tcPr>
                <w:p w14:paraId="5A8E6163">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color w:val="FF0000"/>
                      <w:sz w:val="21"/>
                      <w:szCs w:val="21"/>
                      <w:highlight w:val="none"/>
                    </w:rPr>
                  </w:pPr>
                  <w:r>
                    <w:rPr>
                      <w:rFonts w:hint="default" w:ascii="Times New Roman" w:hAnsi="Times New Roman" w:eastAsia="宋体" w:cs="Times New Roman"/>
                      <w:sz w:val="21"/>
                      <w:szCs w:val="21"/>
                      <w:highlight w:val="none"/>
                    </w:rPr>
                    <w:t>Quality Assurance Plan and Measures</w:t>
                  </w:r>
                </w:p>
              </w:tc>
              <w:tc>
                <w:tcPr>
                  <w:tcW w:w="470" w:type="pct"/>
                  <w:noWrap w:val="0"/>
                  <w:vAlign w:val="center"/>
                </w:tcPr>
                <w:p w14:paraId="4EF9BEBA">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10</w:t>
                  </w:r>
                </w:p>
              </w:tc>
              <w:tc>
                <w:tcPr>
                  <w:tcW w:w="566" w:type="pct"/>
                  <w:noWrap w:val="0"/>
                  <w:vAlign w:val="center"/>
                </w:tcPr>
                <w:p w14:paraId="5514C52E">
                  <w:pPr>
                    <w:keepNext w:val="0"/>
                    <w:keepLines w:val="0"/>
                    <w:widowControl/>
                    <w:suppressLineNumbers w:val="0"/>
                    <w:spacing w:before="0" w:beforeAutospacing="0" w:after="0" w:afterAutospacing="0"/>
                    <w:ind w:left="0" w:right="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Expert Scoring</w:t>
                  </w:r>
                </w:p>
              </w:tc>
              <w:tc>
                <w:tcPr>
                  <w:tcW w:w="2104" w:type="pct"/>
                  <w:noWrap w:val="0"/>
                  <w:vAlign w:val="top"/>
                </w:tcPr>
                <w:p w14:paraId="482005F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(1) Scoring Content</w:t>
                  </w:r>
                </w:p>
                <w:p w14:paraId="003D10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The bidder shall provide the following documents:</w:t>
                  </w:r>
                </w:p>
                <w:p w14:paraId="579F5E42">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Quality assurance plan;</w:t>
                  </w:r>
                </w:p>
                <w:p w14:paraId="3A91F764">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firstLine="0" w:firstLineChars="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Quality control measures.</w:t>
                  </w:r>
                </w:p>
                <w:p w14:paraId="554F6A6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(2) Scoring Criteria</w:t>
                  </w:r>
                </w:p>
                <w:p w14:paraId="3D6E2F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A base score of 50 points is assigned when both of the above two items are provided; 25 points is deducted for each missing item. On this basis, experts conduct further evaluation according to the specific response of each bidder, as follows:</w:t>
                  </w:r>
                </w:p>
                <w:p w14:paraId="0CAB9E69">
                  <w:pPr>
                    <w:keepNext w:val="0"/>
                    <w:keepLines w:val="0"/>
                    <w:widowControl/>
                    <w:suppressLineNumbers w:val="0"/>
                    <w:adjustRightInd w:val="0"/>
                    <w:snapToGrid w:val="0"/>
                    <w:spacing w:before="0" w:beforeAutospacing="0" w:after="0" w:afterAutospacing="0" w:line="240" w:lineRule="auto"/>
                    <w:ind w:left="0" w:right="0"/>
                    <w:jc w:val="both"/>
                    <w:rPr>
                      <w:rFonts w:hint="default" w:ascii="Times New Roman" w:hAnsi="Times New Roman" w:eastAsia="宋体" w:cs="Times New Roman"/>
                      <w:sz w:val="24"/>
                      <w:szCs w:val="24"/>
                      <w:highlight w:val="none"/>
                    </w:rPr>
                  </w:pPr>
                  <w:r>
                    <w:rPr>
                      <w:rStyle w:val="18"/>
                      <w:rFonts w:hint="default" w:ascii="Times New Roman" w:hAnsi="Times New Roman" w:eastAsia="宋体" w:cs="Times New Roman"/>
                      <w:b/>
                      <w:bCs/>
                      <w:color w:val="000000"/>
                      <w:kern w:val="0"/>
                      <w:sz w:val="21"/>
                      <w:szCs w:val="21"/>
                      <w:highlight w:val="none"/>
                      <w:lang w:val="en-US" w:eastAsia="zh-CN" w:bidi="ar"/>
                    </w:rPr>
                    <w:t>Excellent</w:t>
                  </w:r>
                  <w:r>
                    <w:rPr>
                      <w:rFonts w:hint="default" w:ascii="Times New Roman" w:hAnsi="Times New Roman" w:eastAsia="宋体" w:cs="Times New Roman"/>
                      <w:color w:val="000000"/>
                      <w:kern w:val="0"/>
                      <w:sz w:val="21"/>
                      <w:szCs w:val="21"/>
                      <w:highlight w:val="none"/>
                      <w:lang w:val="en-US" w:eastAsia="zh-CN" w:bidi="ar"/>
                    </w:rPr>
                    <w:t>: The quality assurance plan is complete and comprehensive with strong operability; the key points, difficulties and technical risks of quality control are clearly identified and thoroughly analyzed; targeted measures are detailed and reasonable; the disposal procedures, preventive measures and emergency plans for quality accidents are reliable. An additional 50 points will be given.</w:t>
                  </w:r>
                </w:p>
                <w:p w14:paraId="159E515B">
                  <w:pPr>
                    <w:keepNext w:val="0"/>
                    <w:keepLines w:val="0"/>
                    <w:widowControl/>
                    <w:suppressLineNumbers w:val="0"/>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240" w:lineRule="auto"/>
                    <w:ind w:left="0" w:right="0"/>
                    <w:jc w:val="both"/>
                    <w:rPr>
                      <w:rFonts w:hint="default" w:ascii="Times New Roman" w:hAnsi="Times New Roman" w:cs="Times New Roman"/>
                      <w:color w:val="000000"/>
                      <w:sz w:val="21"/>
                      <w:szCs w:val="21"/>
                      <w:highlight w:val="none"/>
                    </w:rPr>
                  </w:pPr>
                  <w:r>
                    <w:rPr>
                      <w:rStyle w:val="18"/>
                      <w:rFonts w:hint="default" w:ascii="Times New Roman" w:hAnsi="Times New Roman" w:eastAsia="宋体" w:cs="Times New Roman"/>
                      <w:b/>
                      <w:bCs/>
                      <w:color w:val="000000"/>
                      <w:kern w:val="0"/>
                      <w:sz w:val="21"/>
                      <w:szCs w:val="21"/>
                      <w:highlight w:val="none"/>
                      <w:lang w:val="en-US" w:eastAsia="zh-CN" w:bidi="ar"/>
                    </w:rPr>
                    <w:t>Good</w:t>
                  </w:r>
                  <w:r>
                    <w:rPr>
                      <w:rFonts w:hint="default" w:ascii="Times New Roman" w:hAnsi="Times New Roman" w:eastAsia="宋体" w:cs="Times New Roman"/>
                      <w:color w:val="000000"/>
                      <w:kern w:val="0"/>
                      <w:sz w:val="21"/>
                      <w:szCs w:val="21"/>
                      <w:highlight w:val="none"/>
                      <w:lang w:val="en-US" w:eastAsia="zh-CN" w:bidi="ar"/>
                    </w:rPr>
                    <w:t>: The quality assurance plan is relatively comprehensive with good operability; the key points, difficulties and technical risks of quality control are relatively clear and well analyzed; targeted measures are relatively detailed and reasonable; the disposal procedures, preventive measures and emergency plans for quality accidents are relatively reliable. An additional 30 points will be given.</w:t>
                  </w:r>
                </w:p>
                <w:p w14:paraId="0900A7A6">
                  <w:pPr>
                    <w:keepNext w:val="0"/>
                    <w:keepLines w:val="0"/>
                    <w:widowControl/>
                    <w:suppressLineNumbers w:val="0"/>
                    <w:pBdr>
                      <w:top w:val="none" w:color="auto" w:sz="0" w:space="0"/>
                      <w:left w:val="none" w:color="auto" w:sz="0" w:space="0"/>
                      <w:bottom w:val="none" w:color="auto" w:sz="0" w:space="0"/>
                      <w:right w:val="none" w:color="auto" w:sz="0" w:space="0"/>
                    </w:pBdr>
                    <w:adjustRightInd w:val="0"/>
                    <w:snapToGrid w:val="0"/>
                    <w:spacing w:before="0" w:beforeAutospacing="0" w:after="0" w:afterAutospacing="0" w:line="240" w:lineRule="auto"/>
                    <w:ind w:left="0" w:right="0"/>
                    <w:jc w:val="both"/>
                    <w:rPr>
                      <w:rFonts w:hint="default" w:ascii="Times New Roman" w:hAnsi="Times New Roman" w:cs="Times New Roman"/>
                      <w:color w:val="000000"/>
                      <w:sz w:val="21"/>
                      <w:szCs w:val="21"/>
                      <w:highlight w:val="none"/>
                    </w:rPr>
                  </w:pPr>
                  <w:r>
                    <w:rPr>
                      <w:rStyle w:val="18"/>
                      <w:rFonts w:hint="default" w:ascii="Times New Roman" w:hAnsi="Times New Roman" w:eastAsia="宋体" w:cs="Times New Roman"/>
                      <w:b/>
                      <w:bCs/>
                      <w:color w:val="000000"/>
                      <w:kern w:val="0"/>
                      <w:sz w:val="21"/>
                      <w:szCs w:val="21"/>
                      <w:highlight w:val="none"/>
                      <w:lang w:val="en-US" w:eastAsia="zh-CN" w:bidi="ar"/>
                    </w:rPr>
                    <w:t>Medium</w:t>
                  </w:r>
                  <w:r>
                    <w:rPr>
                      <w:rFonts w:hint="default" w:ascii="Times New Roman" w:hAnsi="Times New Roman" w:eastAsia="宋体" w:cs="Times New Roman"/>
                      <w:color w:val="000000"/>
                      <w:kern w:val="0"/>
                      <w:sz w:val="21"/>
                      <w:szCs w:val="21"/>
                      <w:highlight w:val="none"/>
                      <w:lang w:val="en-US" w:eastAsia="zh-CN" w:bidi="ar"/>
                    </w:rPr>
                    <w:t>: The quality assurance plan basically meets the requirements with average operability; the key points, difficulties and technical risks of quality control are basically clear and properly analyzed; targeted measures are ordinary and basically reasonable; the disposal procedures, preventive measures and emergency plans for quality accidents are basically reliable. An additional 15 points will be given.</w:t>
                  </w:r>
                </w:p>
                <w:p w14:paraId="3B627EF6">
                  <w:pPr>
                    <w:keepNext w:val="0"/>
                    <w:keepLines w:val="0"/>
                    <w:widowControl/>
                    <w:suppressLineNumbers w:val="0"/>
                    <w:adjustRightInd w:val="0"/>
                    <w:snapToGrid w:val="0"/>
                    <w:spacing w:before="0" w:beforeAutospacing="0" w:after="0" w:afterAutospacing="0" w:line="240" w:lineRule="auto"/>
                    <w:ind w:left="0" w:right="0"/>
                    <w:jc w:val="both"/>
                    <w:rPr>
                      <w:rFonts w:hint="default" w:ascii="Times New Roman" w:hAnsi="Times New Roman" w:eastAsia="宋体" w:cs="Times New Roman"/>
                      <w:sz w:val="24"/>
                      <w:szCs w:val="24"/>
                      <w:highlight w:val="none"/>
                    </w:rPr>
                  </w:pPr>
                  <w:r>
                    <w:rPr>
                      <w:rStyle w:val="18"/>
                      <w:rFonts w:hint="default" w:ascii="Times New Roman" w:hAnsi="Times New Roman" w:eastAsia="宋体" w:cs="Times New Roman"/>
                      <w:b/>
                      <w:bCs/>
                      <w:color w:val="000000"/>
                      <w:kern w:val="0"/>
                      <w:sz w:val="21"/>
                      <w:szCs w:val="21"/>
                      <w:highlight w:val="none"/>
                      <w:lang w:val="en-US" w:eastAsia="zh-CN" w:bidi="ar"/>
                    </w:rPr>
                    <w:t>Poor</w:t>
                  </w:r>
                  <w:r>
                    <w:rPr>
                      <w:rFonts w:hint="default" w:ascii="Times New Roman" w:hAnsi="Times New Roman" w:eastAsia="宋体" w:cs="Times New Roman"/>
                      <w:color w:val="000000"/>
                      <w:kern w:val="0"/>
                      <w:sz w:val="21"/>
                      <w:szCs w:val="21"/>
                      <w:highlight w:val="none"/>
                      <w:lang w:val="en-US" w:eastAsia="zh-CN" w:bidi="ar"/>
                    </w:rPr>
                    <w:t>: The quality assurance plan is too defective to be operable; the technical risks are not clearly identified, and there are no disposal procedures, preventive measures or emergency plans for quality accidents. No additional points will be given.</w:t>
                  </w:r>
                </w:p>
                <w:p w14:paraId="1964D2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If the evaluation rating is Poor, the expert shall state the reasons in writing and file them for record.</w:t>
                  </w:r>
                </w:p>
              </w:tc>
            </w:tr>
            <w:tr w14:paraId="6F1F8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17" w:type="pct"/>
                  <w:vMerge w:val="restart"/>
                  <w:noWrap w:val="0"/>
                  <w:vAlign w:val="center"/>
                </w:tcPr>
                <w:p w14:paraId="2899DE95">
                  <w:pPr>
                    <w:keepNext w:val="0"/>
                    <w:keepLines w:val="0"/>
                    <w:widowControl/>
                    <w:suppressLineNumbers w:val="0"/>
                    <w:spacing w:before="0" w:beforeAutospacing="0" w:after="0" w:afterAutospacing="0" w:line="240" w:lineRule="exact"/>
                    <w:ind w:left="0" w:right="0"/>
                    <w:jc w:val="center"/>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4</w:t>
                  </w:r>
                </w:p>
              </w:tc>
              <w:tc>
                <w:tcPr>
                  <w:tcW w:w="2377" w:type="pct"/>
                  <w:gridSpan w:val="4"/>
                  <w:noWrap w:val="0"/>
                  <w:vAlign w:val="center"/>
                </w:tcPr>
                <w:p w14:paraId="02824692">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Commerc</w:t>
                  </w:r>
                  <w:r>
                    <w:rPr>
                      <w:rFonts w:hint="default" w:ascii="Times New Roman" w:hAnsi="Times New Roman" w:eastAsia="宋体" w:cs="Times New Roman"/>
                      <w:sz w:val="21"/>
                      <w:szCs w:val="21"/>
                      <w:highlight w:val="none"/>
                      <w:lang w:val="en-US" w:eastAsia="zh-CN"/>
                    </w:rPr>
                    <w:t>e</w:t>
                  </w:r>
                </w:p>
              </w:tc>
              <w:tc>
                <w:tcPr>
                  <w:tcW w:w="2104" w:type="pct"/>
                  <w:noWrap w:val="0"/>
                  <w:vAlign w:val="top"/>
                </w:tcPr>
                <w:p w14:paraId="469C909F">
                  <w:pPr>
                    <w:keepNext w:val="0"/>
                    <w:keepLines w:val="0"/>
                    <w:widowControl/>
                    <w:suppressLineNumbers w:val="0"/>
                    <w:spacing w:before="0" w:beforeAutospacing="0" w:after="0" w:afterAutospacing="0" w:line="240" w:lineRule="exact"/>
                    <w:ind w:left="0" w:right="0"/>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35</w:t>
                  </w:r>
                </w:p>
              </w:tc>
            </w:tr>
            <w:tr w14:paraId="119B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17" w:type="pct"/>
                  <w:vMerge w:val="continue"/>
                  <w:noWrap w:val="0"/>
                  <w:vAlign w:val="center"/>
                </w:tcPr>
                <w:p w14:paraId="66F035A1">
                  <w:pPr>
                    <w:keepNext/>
                    <w:keepLines/>
                    <w:widowControl/>
                    <w:suppressLineNumbers w:val="0"/>
                    <w:spacing w:before="260" w:beforeAutospacing="0" w:after="260" w:afterAutospacing="0" w:line="240" w:lineRule="exact"/>
                    <w:ind w:left="0" w:right="0"/>
                    <w:jc w:val="center"/>
                    <w:outlineLvl w:val="2"/>
                    <w:rPr>
                      <w:rFonts w:hint="default" w:ascii="Times New Roman" w:hAnsi="Times New Roman" w:eastAsia="宋体" w:cs="Times New Roman"/>
                      <w:sz w:val="24"/>
                      <w:szCs w:val="24"/>
                      <w:highlight w:val="none"/>
                    </w:rPr>
                  </w:pPr>
                </w:p>
              </w:tc>
              <w:tc>
                <w:tcPr>
                  <w:tcW w:w="517" w:type="pct"/>
                  <w:noWrap w:val="0"/>
                  <w:vAlign w:val="center"/>
                </w:tcPr>
                <w:p w14:paraId="79DA034F">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p>
              </w:tc>
              <w:tc>
                <w:tcPr>
                  <w:tcW w:w="822" w:type="pct"/>
                  <w:noWrap w:val="0"/>
                  <w:vAlign w:val="center"/>
                </w:tcPr>
                <w:p w14:paraId="0AE79081">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color w:val="FF0000"/>
                      <w:kern w:val="2"/>
                      <w:sz w:val="21"/>
                      <w:szCs w:val="21"/>
                      <w:highlight w:val="none"/>
                      <w:lang w:val="en-US" w:eastAsia="zh-CN" w:bidi="ar-SA"/>
                    </w:rPr>
                  </w:pPr>
                  <w:r>
                    <w:rPr>
                      <w:rFonts w:hint="default" w:ascii="Times New Roman" w:hAnsi="Times New Roman" w:eastAsia="宋体" w:cs="Times New Roman"/>
                      <w:sz w:val="21"/>
                      <w:szCs w:val="21"/>
                      <w:highlight w:val="none"/>
                    </w:rPr>
                    <w:t>Deviation of Commercial Clauses</w:t>
                  </w:r>
                </w:p>
              </w:tc>
              <w:tc>
                <w:tcPr>
                  <w:tcW w:w="470" w:type="pct"/>
                  <w:noWrap w:val="0"/>
                  <w:vAlign w:val="center"/>
                </w:tcPr>
                <w:p w14:paraId="0ECA0966">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10</w:t>
                  </w:r>
                </w:p>
              </w:tc>
              <w:tc>
                <w:tcPr>
                  <w:tcW w:w="566" w:type="pct"/>
                  <w:noWrap w:val="0"/>
                  <w:vAlign w:val="center"/>
                </w:tcPr>
                <w:p w14:paraId="44CD5B17">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Expert Scoring</w:t>
                  </w:r>
                </w:p>
              </w:tc>
              <w:tc>
                <w:tcPr>
                  <w:tcW w:w="2104" w:type="pct"/>
                  <w:noWrap w:val="0"/>
                  <w:vAlign w:val="center"/>
                </w:tcPr>
                <w:p w14:paraId="0E4EA1F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(1) Scoring Content</w:t>
                  </w:r>
                </w:p>
                <w:p w14:paraId="0882C0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 xml:space="preserve">The evaluation shall be based on the </w:t>
                  </w:r>
                  <w:r>
                    <w:rPr>
                      <w:rStyle w:val="18"/>
                      <w:rFonts w:hint="default" w:ascii="Times New Roman" w:hAnsi="Times New Roman" w:eastAsia="宋体" w:cs="Times New Roman"/>
                      <w:b w:val="0"/>
                      <w:bCs w:val="0"/>
                      <w:color w:val="000000"/>
                      <w:kern w:val="0"/>
                      <w:sz w:val="21"/>
                      <w:szCs w:val="21"/>
                      <w:highlight w:val="none"/>
                      <w:lang w:val="en-US" w:eastAsia="zh-CN" w:bidi="ar"/>
                    </w:rPr>
                    <w:t>Commercial Clause Response/Deviation Form</w:t>
                  </w:r>
                  <w:r>
                    <w:rPr>
                      <w:rFonts w:hint="default" w:ascii="Times New Roman" w:hAnsi="Times New Roman" w:eastAsia="宋体" w:cs="Times New Roman"/>
                      <w:color w:val="000000"/>
                      <w:kern w:val="0"/>
                      <w:sz w:val="21"/>
                      <w:szCs w:val="21"/>
                      <w:highlight w:val="none"/>
                      <w:lang w:val="en-US" w:eastAsia="zh-CN" w:bidi="ar"/>
                    </w:rPr>
                    <w:t xml:space="preserve"> in the bid documents. A full score of 100 points shall be given if all commercial parameter indicators and requirements are fully responded without any deviation. Any negative deviation of any important clause (parameter) marked with an asterisk ("*") shall render the bid invalid. Scoring and point deduction will be made on the basis of only one single negative deviation</w:t>
                  </w:r>
                </w:p>
                <w:p w14:paraId="63B0FB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If a bidder has two or more negative deviations under one commercial clause (as divided in the commercial requirements of the tender documents), such deviations shall be counted as one single negative deviation for scoring and point deduction.</w:t>
                  </w:r>
                </w:p>
                <w:p w14:paraId="16CCAE8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(2) Scoring Criteria</w:t>
                  </w:r>
                </w:p>
                <w:p w14:paraId="74E189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 xml:space="preserve">The bidder shall truthfully fill in the </w:t>
                  </w:r>
                  <w:r>
                    <w:rPr>
                      <w:rStyle w:val="18"/>
                      <w:rFonts w:hint="default" w:ascii="Times New Roman" w:hAnsi="Times New Roman" w:eastAsia="宋体" w:cs="Times New Roman"/>
                      <w:b/>
                      <w:bCs/>
                      <w:color w:val="000000"/>
                      <w:kern w:val="0"/>
                      <w:sz w:val="21"/>
                      <w:szCs w:val="21"/>
                      <w:highlight w:val="none"/>
                      <w:lang w:val="en-US" w:eastAsia="zh-CN" w:bidi="ar"/>
                    </w:rPr>
                    <w:t>Commercial Clause Response/Deviation Form</w:t>
                  </w:r>
                  <w:r>
                    <w:rPr>
                      <w:rFonts w:hint="default" w:ascii="Times New Roman" w:hAnsi="Times New Roman" w:eastAsia="宋体" w:cs="Times New Roman"/>
                      <w:color w:val="000000"/>
                      <w:kern w:val="0"/>
                      <w:sz w:val="21"/>
                      <w:szCs w:val="21"/>
                      <w:highlight w:val="none"/>
                      <w:lang w:val="en-US" w:eastAsia="zh-CN" w:bidi="ar"/>
                    </w:rPr>
                    <w:t>. Where the tender documents require supporting documents, the bidder shall provide scanned copies of the required supporting documents (the original shall be kept for inspection) and specify the exact location of the supporting documents in the bid documents.</w:t>
                  </w:r>
                </w:p>
                <w:p w14:paraId="7FFB3C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In case the supporting documents are inconsistent with the contents filled in the deviation form, valid supporting documents are not provided, the specific location of the supporting documents in the bid documents is not indicated, or the provided supporting documents are incomplete or unclear, the relevant commercial indicator shall be deemed as a negative deviation.</w:t>
                  </w:r>
                </w:p>
              </w:tc>
            </w:tr>
            <w:tr w14:paraId="50B0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17" w:type="pct"/>
                  <w:vMerge w:val="continue"/>
                  <w:noWrap w:val="0"/>
                  <w:vAlign w:val="center"/>
                </w:tcPr>
                <w:p w14:paraId="69C4AF9B">
                  <w:pPr>
                    <w:keepNext/>
                    <w:keepLines/>
                    <w:widowControl/>
                    <w:suppressLineNumbers w:val="0"/>
                    <w:spacing w:before="260" w:beforeAutospacing="0" w:after="260" w:afterAutospacing="0" w:line="240" w:lineRule="exact"/>
                    <w:ind w:left="0" w:right="0"/>
                    <w:jc w:val="center"/>
                    <w:outlineLvl w:val="2"/>
                    <w:rPr>
                      <w:rFonts w:hint="default" w:ascii="Times New Roman" w:hAnsi="Times New Roman" w:eastAsia="宋体" w:cs="Times New Roman"/>
                      <w:sz w:val="24"/>
                      <w:szCs w:val="24"/>
                      <w:highlight w:val="none"/>
                    </w:rPr>
                  </w:pPr>
                </w:p>
              </w:tc>
              <w:tc>
                <w:tcPr>
                  <w:tcW w:w="517" w:type="pct"/>
                  <w:noWrap w:val="0"/>
                  <w:vAlign w:val="center"/>
                </w:tcPr>
                <w:p w14:paraId="5302A796">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sz w:val="24"/>
                      <w:szCs w:val="24"/>
                      <w:highlight w:val="none"/>
                      <w:lang w:val="en-US" w:eastAsia="zh-CN"/>
                    </w:rPr>
                    <w:t>2</w:t>
                  </w:r>
                </w:p>
              </w:tc>
              <w:tc>
                <w:tcPr>
                  <w:tcW w:w="822" w:type="pct"/>
                  <w:noWrap w:val="0"/>
                  <w:vAlign w:val="center"/>
                </w:tcPr>
                <w:p w14:paraId="06DE4002">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color w:val="FF0000"/>
                      <w:kern w:val="2"/>
                      <w:sz w:val="21"/>
                      <w:szCs w:val="21"/>
                      <w:highlight w:val="none"/>
                      <w:lang w:val="en-US" w:eastAsia="zh-CN" w:bidi="ar-SA"/>
                    </w:rPr>
                  </w:pPr>
                  <w:r>
                    <w:rPr>
                      <w:rFonts w:hint="default" w:ascii="Times New Roman" w:hAnsi="Times New Roman" w:eastAsia="宋体" w:cs="Times New Roman"/>
                      <w:sz w:val="21"/>
                      <w:szCs w:val="21"/>
                      <w:highlight w:val="none"/>
                    </w:rPr>
                    <w:t>Similar Performance of the Bidder</w:t>
                  </w:r>
                </w:p>
              </w:tc>
              <w:tc>
                <w:tcPr>
                  <w:tcW w:w="470" w:type="pct"/>
                  <w:noWrap w:val="0"/>
                  <w:vAlign w:val="center"/>
                </w:tcPr>
                <w:p w14:paraId="07C6216C">
                  <w:pPr>
                    <w:keepNext w:val="0"/>
                    <w:keepLines w:val="0"/>
                    <w:widowControl/>
                    <w:suppressLineNumbers w:val="0"/>
                    <w:spacing w:before="0" w:beforeAutospacing="0" w:after="0" w:afterAutospacing="0" w:line="240" w:lineRule="exact"/>
                    <w:ind w:left="0" w:right="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25</w:t>
                  </w:r>
                </w:p>
              </w:tc>
              <w:tc>
                <w:tcPr>
                  <w:tcW w:w="566" w:type="pct"/>
                  <w:noWrap w:val="0"/>
                  <w:vAlign w:val="center"/>
                </w:tcPr>
                <w:p w14:paraId="54488CF8">
                  <w:pPr>
                    <w:keepNext w:val="0"/>
                    <w:keepLines w:val="0"/>
                    <w:widowControl/>
                    <w:suppressLineNumbers w:val="0"/>
                    <w:spacing w:before="0" w:beforeAutospacing="0" w:after="0" w:afterAutospacing="0"/>
                    <w:ind w:left="0" w:right="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rPr>
                    <w:t>Expert Scoring</w:t>
                  </w:r>
                </w:p>
              </w:tc>
              <w:tc>
                <w:tcPr>
                  <w:tcW w:w="2104" w:type="pct"/>
                  <w:noWrap w:val="0"/>
                  <w:vAlign w:val="top"/>
                </w:tcPr>
                <w:p w14:paraId="76571E2D">
                  <w:pPr>
                    <w:keepNext w:val="0"/>
                    <w:keepLines w:val="0"/>
                    <w:widowControl/>
                    <w:numPr>
                      <w:ilvl w:val="0"/>
                      <w:numId w:val="0"/>
                    </w:numPr>
                    <w:suppressLineNumbers w:val="0"/>
                    <w:pBdr>
                      <w:top w:val="none" w:color="auto" w:sz="0" w:space="0"/>
                      <w:left w:val="none" w:color="auto" w:sz="0" w:space="0"/>
                      <w:right w:val="none" w:color="auto" w:sz="0" w:space="0"/>
                    </w:pBdr>
                    <w:spacing w:before="0" w:beforeAutospacing="0" w:after="0" w:afterAutospacing="0"/>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(1) Scoring Content</w:t>
                  </w:r>
                </w:p>
                <w:p w14:paraId="5B9B21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The bidder (or the manufacturer of the proposed products) that has undertaken sales performance of similar products (referring to fluxgates applied to synchrotron light sources or free electron laser superconducting acceleration modules) from January 1, 2021 to the bid closing date of this project (subject to the contract signing date) shall be scored as follows: 25 points will be assigned for each similar performance provided, with a maximum of 100 points; no points will be assigned if no relevant performance is provided.</w:t>
                  </w:r>
                </w:p>
                <w:p w14:paraId="78AA77D4">
                  <w:pPr>
                    <w:keepNext w:val="0"/>
                    <w:keepLines w:val="0"/>
                    <w:widowControl/>
                    <w:numPr>
                      <w:ilvl w:val="0"/>
                      <w:numId w:val="0"/>
                    </w:numPr>
                    <w:suppressLineNumbers w:val="0"/>
                    <w:pBdr>
                      <w:top w:val="none" w:color="auto" w:sz="0" w:space="0"/>
                      <w:left w:val="none" w:color="auto" w:sz="0" w:space="0"/>
                      <w:right w:val="none" w:color="auto" w:sz="0" w:space="0"/>
                    </w:pBdr>
                    <w:spacing w:before="0" w:beforeAutospacing="0" w:after="0" w:afterAutospacing="0"/>
                    <w:ind w:left="0" w:right="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(2) Scoring Criteria</w:t>
                  </w:r>
                </w:p>
                <w:p w14:paraId="28ECF78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lang w:val="en-US" w:eastAsia="zh-CN"/>
                    </w:rPr>
                    <w:t xml:space="preserve">1. </w:t>
                  </w:r>
                  <w:r>
                    <w:rPr>
                      <w:rFonts w:hint="default" w:ascii="Times New Roman" w:hAnsi="Times New Roman" w:cs="Times New Roman"/>
                      <w:color w:val="000000"/>
                      <w:sz w:val="21"/>
                      <w:szCs w:val="21"/>
                      <w:highlight w:val="none"/>
                    </w:rPr>
                    <w:t>Scanned copies of key contract pages (including but not limited to the contract title page, main content page, contract signing date page, and the signed and sealed page of both contracting parties), as well as supporting documents issued by the Party A of the corresponding contract proving the official commissioning of similar products (the supporting documents shall be signed by the contact person of Party A with contact information filled in) shall be provided as the basis for scoring.</w:t>
                  </w:r>
                </w:p>
                <w:p w14:paraId="1CD187D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lang w:val="en-US" w:eastAsia="zh-CN"/>
                    </w:rPr>
                    <w:t xml:space="preserve">2. </w:t>
                  </w:r>
                  <w:r>
                    <w:rPr>
                      <w:rFonts w:hint="default" w:ascii="Times New Roman" w:hAnsi="Times New Roman" w:cs="Times New Roman"/>
                      <w:color w:val="000000"/>
                      <w:sz w:val="21"/>
                      <w:szCs w:val="21"/>
                      <w:highlight w:val="none"/>
                    </w:rPr>
                    <w:t xml:space="preserve">If it cannot be determined whether points can be </w:t>
                  </w:r>
                  <w:r>
                    <w:rPr>
                      <w:rFonts w:hint="default" w:ascii="Times New Roman" w:hAnsi="Times New Roman" w:cs="Times New Roman"/>
                      <w:color w:val="000000"/>
                      <w:sz w:val="21"/>
                      <w:szCs w:val="21"/>
                      <w:highlight w:val="none"/>
                      <w:lang w:eastAsia="zh-CN"/>
                    </w:rPr>
                    <w:t>assigned</w:t>
                  </w:r>
                  <w:r>
                    <w:rPr>
                      <w:rFonts w:hint="default" w:ascii="Times New Roman" w:hAnsi="Times New Roman" w:cs="Times New Roman"/>
                      <w:color w:val="000000"/>
                      <w:sz w:val="21"/>
                      <w:szCs w:val="21"/>
                      <w:highlight w:val="none"/>
                    </w:rPr>
                    <w:t xml:space="preserve"> based on the key contract pages and the supporting documents for official commissioning of similar products, other supporting materials that can verify the eligibility for points, such as project reports or other certification documents issued by Party A of the contract, shall be provided simultaneously.</w:t>
                  </w:r>
                </w:p>
                <w:p w14:paraId="0C7F634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napToGrid/>
                    <w:spacing w:before="0" w:beforeAutospacing="0" w:after="0" w:afterAutospacing="0" w:line="288" w:lineRule="atLeast"/>
                    <w:ind w:left="0" w:right="0"/>
                    <w:jc w:val="both"/>
                    <w:rPr>
                      <w:rFonts w:hint="default" w:ascii="Times New Roman" w:hAnsi="Times New Roman" w:eastAsia="宋体" w:cs="Times New Roman"/>
                      <w:kern w:val="0"/>
                      <w:sz w:val="21"/>
                      <w:szCs w:val="21"/>
                      <w:highlight w:val="none"/>
                      <w:lang w:val="en-US" w:eastAsia="zh-CN" w:bidi="ar-SA"/>
                    </w:rPr>
                  </w:pPr>
                  <w:r>
                    <w:rPr>
                      <w:rFonts w:hint="default" w:ascii="Times New Roman" w:hAnsi="Times New Roman" w:cs="Times New Roman"/>
                      <w:color w:val="000000"/>
                      <w:sz w:val="21"/>
                      <w:szCs w:val="21"/>
                      <w:highlight w:val="none"/>
                      <w:lang w:val="en-US" w:eastAsia="zh-CN"/>
                    </w:rPr>
                    <w:t xml:space="preserve">3. </w:t>
                  </w:r>
                  <w:r>
                    <w:rPr>
                      <w:rFonts w:hint="default" w:ascii="Times New Roman" w:hAnsi="Times New Roman" w:cs="Times New Roman"/>
                      <w:color w:val="000000"/>
                      <w:sz w:val="21"/>
                      <w:szCs w:val="21"/>
                      <w:highlight w:val="none"/>
                    </w:rPr>
                    <w:t xml:space="preserve">In the event of </w:t>
                  </w:r>
                  <w:r>
                    <w:rPr>
                      <w:rFonts w:hint="default" w:ascii="Times New Roman" w:hAnsi="Times New Roman" w:cs="Times New Roman"/>
                      <w:color w:val="000000"/>
                      <w:sz w:val="21"/>
                      <w:szCs w:val="21"/>
                      <w:highlight w:val="none"/>
                      <w:lang w:val="en-US" w:eastAsia="zh-CN"/>
                    </w:rPr>
                    <w:t>shortage of</w:t>
                  </w:r>
                  <w:r>
                    <w:rPr>
                      <w:rFonts w:hint="default" w:ascii="Times New Roman" w:hAnsi="Times New Roman" w:cs="Times New Roman"/>
                      <w:color w:val="000000"/>
                      <w:sz w:val="21"/>
                      <w:szCs w:val="21"/>
                      <w:highlight w:val="none"/>
                    </w:rPr>
                    <w:t xml:space="preserve"> supporting documents or where experts cannot determine the scoring eligibility based on the submitted materials, no points shall be </w:t>
                  </w:r>
                  <w:r>
                    <w:rPr>
                      <w:rFonts w:hint="default" w:ascii="Times New Roman" w:hAnsi="Times New Roman" w:cs="Times New Roman"/>
                      <w:color w:val="000000"/>
                      <w:sz w:val="21"/>
                      <w:szCs w:val="21"/>
                      <w:highlight w:val="none"/>
                      <w:lang w:eastAsia="zh-CN"/>
                    </w:rPr>
                    <w:t>assigned</w:t>
                  </w:r>
                  <w:r>
                    <w:rPr>
                      <w:rFonts w:hint="default" w:ascii="Times New Roman" w:hAnsi="Times New Roman" w:cs="Times New Roman"/>
                      <w:color w:val="000000"/>
                      <w:sz w:val="21"/>
                      <w:szCs w:val="21"/>
                      <w:highlight w:val="none"/>
                    </w:rPr>
                    <w:t xml:space="preserve"> in all such cases.</w:t>
                  </w:r>
                </w:p>
              </w:tc>
            </w:tr>
          </w:tbl>
          <w:p w14:paraId="580DFD60">
            <w:pPr>
              <w:keepNext w:val="0"/>
              <w:keepLines w:val="0"/>
              <w:widowControl/>
              <w:suppressLineNumbers w:val="0"/>
              <w:spacing w:before="0" w:beforeAutospacing="0" w:after="0" w:afterAutospacing="0"/>
              <w:ind w:left="0" w:right="0"/>
              <w:rPr>
                <w:rFonts w:hint="default" w:ascii="Times New Roman" w:hAnsi="Times New Roman" w:eastAsia="宋体" w:cs="Times New Roman"/>
                <w:sz w:val="24"/>
                <w:szCs w:val="24"/>
                <w:highlight w:val="none"/>
              </w:rPr>
            </w:pPr>
          </w:p>
        </w:tc>
      </w:tr>
      <w:tr w14:paraId="6FE766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405" w:hRule="atLeast"/>
        </w:trPr>
        <w:tc>
          <w:tcPr>
            <w:tcW w:w="540" w:type="pct"/>
            <w:vAlign w:val="center"/>
          </w:tcPr>
          <w:p w14:paraId="1F6F497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27.8.1</w:t>
            </w:r>
          </w:p>
        </w:tc>
        <w:tc>
          <w:tcPr>
            <w:tcW w:w="4459" w:type="pct"/>
          </w:tcPr>
          <w:p w14:paraId="50A8F11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sz w:val="24"/>
                <w:szCs w:val="24"/>
              </w:rPr>
            </w:pPr>
            <w:r>
              <w:rPr>
                <w:rFonts w:hint="default" w:ascii="Times New Roman" w:hAnsi="Times New Roman" w:cs="Times New Roman"/>
              </w:rPr>
              <w:t>Number of recommended candidates: No more than 3.</w:t>
            </w:r>
          </w:p>
        </w:tc>
      </w:tr>
      <w:tr w14:paraId="2F27CDC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90" w:hRule="atLeast"/>
        </w:trPr>
        <w:tc>
          <w:tcPr>
            <w:tcW w:w="540" w:type="pct"/>
            <w:vAlign w:val="center"/>
          </w:tcPr>
          <w:p w14:paraId="33EC066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28.1</w:t>
            </w:r>
          </w:p>
        </w:tc>
        <w:tc>
          <w:tcPr>
            <w:tcW w:w="4459" w:type="pct"/>
            <w:vAlign w:val="center"/>
          </w:tcPr>
          <w:p w14:paraId="11B84CD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Publicity period of bid evaluation results: 3 days.</w:t>
            </w:r>
          </w:p>
        </w:tc>
      </w:tr>
      <w:tr w14:paraId="45F9E30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5" w:hRule="atLeast"/>
        </w:trPr>
        <w:tc>
          <w:tcPr>
            <w:tcW w:w="5000" w:type="pct"/>
            <w:gridSpan w:val="2"/>
            <w:vAlign w:val="center"/>
          </w:tcPr>
          <w:p w14:paraId="74C3479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b/>
                <w:bCs/>
              </w:rPr>
              <w:t>Award of contract</w:t>
            </w:r>
          </w:p>
        </w:tc>
      </w:tr>
      <w:tr w14:paraId="1A1796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5" w:hRule="atLeast"/>
        </w:trPr>
        <w:tc>
          <w:tcPr>
            <w:tcW w:w="540" w:type="pct"/>
            <w:vAlign w:val="center"/>
          </w:tcPr>
          <w:p w14:paraId="3D3DC38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30</w:t>
            </w:r>
          </w:p>
        </w:tc>
        <w:tc>
          <w:tcPr>
            <w:tcW w:w="4459" w:type="pct"/>
            <w:vAlign w:val="center"/>
          </w:tcPr>
          <w:p w14:paraId="781E0A8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Pre-contract award review: Refer to Volume I “Instructions to Bidders”, Clauses 30.1 and 30.2 for details</w:t>
            </w:r>
          </w:p>
        </w:tc>
      </w:tr>
      <w:tr w14:paraId="2AE104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200" w:hRule="atLeast"/>
        </w:trPr>
        <w:tc>
          <w:tcPr>
            <w:tcW w:w="540" w:type="pct"/>
            <w:vAlign w:val="center"/>
          </w:tcPr>
          <w:p w14:paraId="745862D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36</w:t>
            </w:r>
          </w:p>
        </w:tc>
        <w:tc>
          <w:tcPr>
            <w:tcW w:w="4459" w:type="pct"/>
            <w:vAlign w:val="center"/>
          </w:tcPr>
          <w:p w14:paraId="3C323CF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Bidding service fee:</w:t>
            </w:r>
          </w:p>
          <w:p w14:paraId="5FCC1B3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The seller shall pay the agency service fee to Shenzhen Donghai International Tendering Co., Ltd. before receiving the “Bid-winning Notice”. If the time caused by the payment of the agent service fee by the seller affects the signing of the contract, the seller shall bear the responsibility by itself. The agency service fee standard is charged in accordance with the SCG [2018] No. 27 document and relevant regulations (*0.7). The project type is goods:</w:t>
            </w:r>
          </w:p>
          <w:p w14:paraId="119730F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pacing w:val="-4"/>
                <w:szCs w:val="24"/>
              </w:rPr>
            </w:pPr>
            <w:r>
              <w:rPr>
                <w:rFonts w:hint="default" w:ascii="Times New Roman" w:hAnsi="Times New Roman" w:cs="Times New Roman"/>
              </w:rPr>
              <w:t>(1) The agency service fee shall be calculated based on the bid-winning amount determined in the “Bid-winning Notice”, and calculated according to the progressive method of difference rate.</w:t>
            </w:r>
          </w:p>
          <w:p w14:paraId="35D4A09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pacing w:val="-4"/>
                <w:szCs w:val="24"/>
              </w:rPr>
            </w:pPr>
            <w:r>
              <w:rPr>
                <w:rFonts w:hint="default" w:ascii="Times New Roman" w:hAnsi="Times New Roman" w:cs="Times New Roman"/>
              </w:rPr>
              <w:t>(2) The rates for each part of the bid-winning amount are as follows:</w:t>
            </w:r>
          </w:p>
          <w:tbl>
            <w:tblPr>
              <w:tblStyle w:val="15"/>
              <w:tblW w:w="71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7"/>
              <w:gridCol w:w="1440"/>
              <w:gridCol w:w="1395"/>
              <w:gridCol w:w="1439"/>
            </w:tblGrid>
            <w:tr w14:paraId="3001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87" w:type="dxa"/>
                  <w:tcBorders>
                    <w:tl2br w:val="single" w:color="auto" w:sz="4" w:space="0"/>
                  </w:tcBorders>
                  <w:vAlign w:val="center"/>
                </w:tcPr>
                <w:p w14:paraId="4B48D9F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right"/>
                    <w:textAlignment w:val="auto"/>
                    <w:rPr>
                      <w:rFonts w:hint="default" w:ascii="Times New Roman" w:hAnsi="Times New Roman" w:eastAsia="宋体" w:cs="Times New Roman"/>
                      <w:bCs/>
                      <w:kern w:val="0"/>
                      <w:szCs w:val="24"/>
                    </w:rPr>
                  </w:pPr>
                  <w:r>
                    <w:rPr>
                      <w:rFonts w:hint="default" w:ascii="Times New Roman" w:hAnsi="Times New Roman" w:cs="Times New Roman"/>
                    </w:rPr>
                    <w:t>Type</w:t>
                  </w:r>
                </w:p>
                <w:p w14:paraId="2B69D21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kern w:val="0"/>
                      <w:szCs w:val="24"/>
                    </w:rPr>
                  </w:pPr>
                  <w:r>
                    <w:rPr>
                      <w:rFonts w:hint="default" w:ascii="Times New Roman" w:hAnsi="Times New Roman" w:cs="Times New Roman"/>
                    </w:rPr>
                    <w:t>Amount (RMB 10,000)</w:t>
                  </w:r>
                </w:p>
              </w:tc>
              <w:tc>
                <w:tcPr>
                  <w:tcW w:w="1440" w:type="dxa"/>
                  <w:vAlign w:val="center"/>
                </w:tcPr>
                <w:p w14:paraId="08A5820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Tender for works</w:t>
                  </w:r>
                </w:p>
              </w:tc>
              <w:tc>
                <w:tcPr>
                  <w:tcW w:w="1395" w:type="dxa"/>
                  <w:vAlign w:val="center"/>
                </w:tcPr>
                <w:p w14:paraId="2E5D434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Tender for goods</w:t>
                  </w:r>
                </w:p>
              </w:tc>
              <w:tc>
                <w:tcPr>
                  <w:tcW w:w="1439" w:type="dxa"/>
                  <w:vAlign w:val="center"/>
                </w:tcPr>
                <w:p w14:paraId="4F8F531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Tender for service</w:t>
                  </w:r>
                </w:p>
              </w:tc>
            </w:tr>
            <w:tr w14:paraId="329C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78753B5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Less than 100</w:t>
                  </w:r>
                </w:p>
              </w:tc>
              <w:tc>
                <w:tcPr>
                  <w:tcW w:w="1440" w:type="dxa"/>
                  <w:vAlign w:val="top"/>
                </w:tcPr>
                <w:p w14:paraId="2FEBCE6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1.00%</w:t>
                  </w:r>
                </w:p>
              </w:tc>
              <w:tc>
                <w:tcPr>
                  <w:tcW w:w="1395" w:type="dxa"/>
                  <w:vAlign w:val="top"/>
                </w:tcPr>
                <w:p w14:paraId="615CAA2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1.50%</w:t>
                  </w:r>
                </w:p>
              </w:tc>
              <w:tc>
                <w:tcPr>
                  <w:tcW w:w="1439" w:type="dxa"/>
                  <w:vAlign w:val="top"/>
                </w:tcPr>
                <w:p w14:paraId="72CFFCD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1.50%</w:t>
                  </w:r>
                </w:p>
              </w:tc>
            </w:tr>
            <w:tr w14:paraId="27D9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1F6F3E6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100-500</w:t>
                  </w:r>
                </w:p>
              </w:tc>
              <w:tc>
                <w:tcPr>
                  <w:tcW w:w="1440" w:type="dxa"/>
                  <w:vAlign w:val="top"/>
                </w:tcPr>
                <w:p w14:paraId="1CC72EA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0.70%</w:t>
                  </w:r>
                </w:p>
              </w:tc>
              <w:tc>
                <w:tcPr>
                  <w:tcW w:w="1395" w:type="dxa"/>
                  <w:vAlign w:val="top"/>
                </w:tcPr>
                <w:p w14:paraId="05DF39F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1.10%</w:t>
                  </w:r>
                </w:p>
              </w:tc>
              <w:tc>
                <w:tcPr>
                  <w:tcW w:w="1439" w:type="dxa"/>
                  <w:vAlign w:val="top"/>
                </w:tcPr>
                <w:p w14:paraId="2416511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0.80%</w:t>
                  </w:r>
                </w:p>
              </w:tc>
            </w:tr>
            <w:tr w14:paraId="4C28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5741D81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500-1000</w:t>
                  </w:r>
                </w:p>
              </w:tc>
              <w:tc>
                <w:tcPr>
                  <w:tcW w:w="1440" w:type="dxa"/>
                  <w:vAlign w:val="top"/>
                </w:tcPr>
                <w:p w14:paraId="04FC056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0.55%</w:t>
                  </w:r>
                </w:p>
              </w:tc>
              <w:tc>
                <w:tcPr>
                  <w:tcW w:w="1395" w:type="dxa"/>
                  <w:vAlign w:val="top"/>
                </w:tcPr>
                <w:p w14:paraId="1FE1B3D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0.80%</w:t>
                  </w:r>
                </w:p>
              </w:tc>
              <w:tc>
                <w:tcPr>
                  <w:tcW w:w="1439" w:type="dxa"/>
                  <w:vAlign w:val="top"/>
                </w:tcPr>
                <w:p w14:paraId="19B718B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0.45%</w:t>
                  </w:r>
                </w:p>
              </w:tc>
            </w:tr>
            <w:tr w14:paraId="4BB2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72A27D2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1000-5000</w:t>
                  </w:r>
                </w:p>
              </w:tc>
              <w:tc>
                <w:tcPr>
                  <w:tcW w:w="1440" w:type="dxa"/>
                  <w:vAlign w:val="top"/>
                </w:tcPr>
                <w:p w14:paraId="255BE28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0.35%</w:t>
                  </w:r>
                </w:p>
              </w:tc>
              <w:tc>
                <w:tcPr>
                  <w:tcW w:w="1395" w:type="dxa"/>
                  <w:vAlign w:val="top"/>
                </w:tcPr>
                <w:p w14:paraId="5DBBB59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0.50%</w:t>
                  </w:r>
                </w:p>
              </w:tc>
              <w:tc>
                <w:tcPr>
                  <w:tcW w:w="1439" w:type="dxa"/>
                  <w:vAlign w:val="top"/>
                </w:tcPr>
                <w:p w14:paraId="3DF6832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0.25%</w:t>
                  </w:r>
                </w:p>
              </w:tc>
            </w:tr>
            <w:tr w14:paraId="211C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2B1BDDD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5000-10000</w:t>
                  </w:r>
                </w:p>
              </w:tc>
              <w:tc>
                <w:tcPr>
                  <w:tcW w:w="1440" w:type="dxa"/>
                  <w:vAlign w:val="top"/>
                </w:tcPr>
                <w:p w14:paraId="1E9B7B5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0.20%</w:t>
                  </w:r>
                </w:p>
              </w:tc>
              <w:tc>
                <w:tcPr>
                  <w:tcW w:w="1395" w:type="dxa"/>
                  <w:vAlign w:val="top"/>
                </w:tcPr>
                <w:p w14:paraId="66548A7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0.25%</w:t>
                  </w:r>
                </w:p>
              </w:tc>
              <w:tc>
                <w:tcPr>
                  <w:tcW w:w="1439" w:type="dxa"/>
                  <w:vAlign w:val="top"/>
                </w:tcPr>
                <w:p w14:paraId="421B1F3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0.10%</w:t>
                  </w:r>
                </w:p>
              </w:tc>
            </w:tr>
            <w:tr w14:paraId="48214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272CC95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50000-100000</w:t>
                  </w:r>
                </w:p>
              </w:tc>
              <w:tc>
                <w:tcPr>
                  <w:tcW w:w="1440" w:type="dxa"/>
                  <w:vAlign w:val="top"/>
                </w:tcPr>
                <w:p w14:paraId="5BA3EDB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0.035%</w:t>
                  </w:r>
                </w:p>
              </w:tc>
              <w:tc>
                <w:tcPr>
                  <w:tcW w:w="1395" w:type="dxa"/>
                  <w:vAlign w:val="top"/>
                </w:tcPr>
                <w:p w14:paraId="5FA8D92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0.035%</w:t>
                  </w:r>
                </w:p>
              </w:tc>
              <w:tc>
                <w:tcPr>
                  <w:tcW w:w="1439" w:type="dxa"/>
                  <w:vAlign w:val="top"/>
                </w:tcPr>
                <w:p w14:paraId="6BE6AF0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0.035%</w:t>
                  </w:r>
                </w:p>
              </w:tc>
            </w:tr>
            <w:tr w14:paraId="0B90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7C9AC7F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100000-500000</w:t>
                  </w:r>
                </w:p>
              </w:tc>
              <w:tc>
                <w:tcPr>
                  <w:tcW w:w="1440" w:type="dxa"/>
                  <w:vAlign w:val="top"/>
                </w:tcPr>
                <w:p w14:paraId="6E6DFC2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0.008%</w:t>
                  </w:r>
                </w:p>
              </w:tc>
              <w:tc>
                <w:tcPr>
                  <w:tcW w:w="1395" w:type="dxa"/>
                  <w:vAlign w:val="top"/>
                </w:tcPr>
                <w:p w14:paraId="4E63377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0.008%</w:t>
                  </w:r>
                </w:p>
              </w:tc>
              <w:tc>
                <w:tcPr>
                  <w:tcW w:w="1439" w:type="dxa"/>
                  <w:vAlign w:val="top"/>
                </w:tcPr>
                <w:p w14:paraId="6B4307C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0.008%</w:t>
                  </w:r>
                </w:p>
              </w:tc>
            </w:tr>
            <w:tr w14:paraId="463D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7EBE939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500000-1000000</w:t>
                  </w:r>
                </w:p>
              </w:tc>
              <w:tc>
                <w:tcPr>
                  <w:tcW w:w="1440" w:type="dxa"/>
                  <w:vAlign w:val="top"/>
                </w:tcPr>
                <w:p w14:paraId="055453B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0.006%</w:t>
                  </w:r>
                </w:p>
              </w:tc>
              <w:tc>
                <w:tcPr>
                  <w:tcW w:w="1395" w:type="dxa"/>
                  <w:vAlign w:val="top"/>
                </w:tcPr>
                <w:p w14:paraId="7570C5A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0.006%</w:t>
                  </w:r>
                </w:p>
              </w:tc>
              <w:tc>
                <w:tcPr>
                  <w:tcW w:w="1439" w:type="dxa"/>
                  <w:vAlign w:val="top"/>
                </w:tcPr>
                <w:p w14:paraId="05B5BFD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0.006%</w:t>
                  </w:r>
                </w:p>
              </w:tc>
            </w:tr>
            <w:tr w14:paraId="64F4A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887" w:type="dxa"/>
                  <w:vAlign w:val="top"/>
                </w:tcPr>
                <w:p w14:paraId="36BC0E0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More than 1,000,000</w:t>
                  </w:r>
                </w:p>
              </w:tc>
              <w:tc>
                <w:tcPr>
                  <w:tcW w:w="1440" w:type="dxa"/>
                  <w:vAlign w:val="top"/>
                </w:tcPr>
                <w:p w14:paraId="4124691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0.004%</w:t>
                  </w:r>
                </w:p>
              </w:tc>
              <w:tc>
                <w:tcPr>
                  <w:tcW w:w="1395" w:type="dxa"/>
                  <w:vAlign w:val="top"/>
                </w:tcPr>
                <w:p w14:paraId="3D7D966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0.004%</w:t>
                  </w:r>
                </w:p>
              </w:tc>
              <w:tc>
                <w:tcPr>
                  <w:tcW w:w="1439" w:type="dxa"/>
                  <w:vAlign w:val="top"/>
                </w:tcPr>
                <w:p w14:paraId="2EC64F5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kern w:val="0"/>
                      <w:szCs w:val="24"/>
                    </w:rPr>
                  </w:pPr>
                  <w:r>
                    <w:rPr>
                      <w:rFonts w:hint="default" w:ascii="Times New Roman" w:hAnsi="Times New Roman" w:cs="Times New Roman"/>
                    </w:rPr>
                    <w:t>0.004%</w:t>
                  </w:r>
                </w:p>
              </w:tc>
            </w:tr>
          </w:tbl>
          <w:p w14:paraId="39EB127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If the bid amount is RMB 6 million for a goods bidding project, the agency service fee to be paid is calculated as follows:</w:t>
            </w:r>
          </w:p>
          <w:p w14:paraId="3B1D47E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Agency service fee = (agency service fee of less than RMB 1 million)+(agency service fee of RMB 1 million ～ 5 million)+(agency service fee of RMB 5 million ～ 6 million) = RMB 1 million × 1.5%+(RMB 5 million-RMB 1 million) × 1.1%+(RMB 6 million-RMB 5 million)×0.8%=RMB 15,000 +RMB 44,000+RMB 8,000  = RMB 67,000</w:t>
            </w:r>
          </w:p>
          <w:p w14:paraId="5403051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(3) The currency of the bid-winning service fee is calculated in RMB.</w:t>
            </w:r>
          </w:p>
          <w:p w14:paraId="037B2F9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(4) After winning the bid, the seller must directly pay the agency service fee to Shenzhen Donghai International Tendering Co., Ltd. by bank public transfer in accordance with the provisions, and the payment information and requirements shall be subject to the following provisions:</w:t>
            </w:r>
          </w:p>
          <w:p w14:paraId="57D09F9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rPr>
            </w:pPr>
            <w:r>
              <w:rPr>
                <w:rFonts w:hint="default" w:ascii="Times New Roman" w:hAnsi="Times New Roman" w:cs="Times New Roman"/>
              </w:rPr>
              <w:t>Basic account information:</w:t>
            </w:r>
          </w:p>
          <w:p w14:paraId="7452E21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Account name: Shenzhen Donghai International Tendering Co., Ltd.</w:t>
            </w:r>
          </w:p>
          <w:p w14:paraId="5793DC1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Bank of deposit: Shenzhen Donghu Sub-branch of China Agricultural Bank Co., Ltd.</w:t>
            </w:r>
          </w:p>
          <w:p w14:paraId="6B3C681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Account number: 4100 1800 0400 2656 1</w:t>
            </w:r>
          </w:p>
          <w:p w14:paraId="5394CF9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4"/>
              </w:rPr>
            </w:pPr>
            <w:r>
              <w:rPr>
                <w:rFonts w:hint="default" w:ascii="Times New Roman" w:hAnsi="Times New Roman" w:cs="Times New Roman"/>
              </w:rPr>
              <w:t>Transfer remarks:</w:t>
            </w:r>
          </w:p>
          <w:p w14:paraId="5013A0F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bookmarkStart w:id="14" w:name="OLE_LINK35"/>
            <w:r>
              <w:rPr>
                <w:rFonts w:hint="default" w:ascii="Times New Roman" w:hAnsi="Times New Roman" w:cs="Times New Roman"/>
              </w:rPr>
              <w:t>Project number:</w:t>
            </w:r>
            <w:bookmarkEnd w:id="14"/>
          </w:p>
        </w:tc>
      </w:tr>
      <w:tr w14:paraId="728825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41" w:hRule="atLeast"/>
        </w:trPr>
        <w:tc>
          <w:tcPr>
            <w:tcW w:w="5000" w:type="pct"/>
            <w:gridSpan w:val="2"/>
            <w:vAlign w:val="center"/>
          </w:tcPr>
          <w:p w14:paraId="42D797F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b/>
                <w:bCs/>
              </w:rPr>
              <w:t>Applicable to other clauses of the Instructions to Bidders</w:t>
            </w:r>
          </w:p>
        </w:tc>
      </w:tr>
      <w:tr w14:paraId="482C7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136" w:hRule="atLeast"/>
        </w:trPr>
        <w:tc>
          <w:tcPr>
            <w:tcW w:w="5000" w:type="pct"/>
            <w:gridSpan w:val="2"/>
            <w:vAlign w:val="center"/>
          </w:tcPr>
          <w:p w14:paraId="7B9E5A9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Applicable laws and regulations:</w:t>
            </w:r>
          </w:p>
          <w:p w14:paraId="1543247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Implementation Measures for Electrical &amp; Mechanical International Bidding and Tendering (Trial) (Ministry of Commerce Decree No. 1 of 2014)</w:t>
            </w:r>
          </w:p>
        </w:tc>
      </w:tr>
      <w:bookmarkEnd w:id="9"/>
    </w:tbl>
    <w:p w14:paraId="454DC03B">
      <w:pPr>
        <w:pStyle w:val="32"/>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rPr>
      </w:pPr>
    </w:p>
    <w:p w14:paraId="50C3CC56">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黑体" w:cs="Times New Roman"/>
          <w:color w:val="000000"/>
          <w:sz w:val="28"/>
          <w:szCs w:val="28"/>
        </w:rPr>
      </w:pPr>
      <w:r>
        <w:rPr>
          <w:rFonts w:ascii="Times New Roman" w:hAnsi="Times New Roman" w:cs="Times New Roman"/>
        </w:rPr>
        <w:br w:type="page"/>
      </w:r>
    </w:p>
    <w:p w14:paraId="08F4999B">
      <w:pPr>
        <w:pStyle w:val="2"/>
        <w:keepNext w:val="0"/>
        <w:keepLines w:val="0"/>
        <w:pageBreakBefore w:val="0"/>
        <w:kinsoku/>
        <w:wordWrap/>
        <w:overflowPunct/>
        <w:topLinePunct w:val="0"/>
        <w:bidi w:val="0"/>
        <w:snapToGrid/>
        <w:spacing w:beforeAutospacing="0" w:afterAutospacing="0" w:line="240" w:lineRule="auto"/>
        <w:jc w:val="center"/>
        <w:textAlignment w:val="auto"/>
        <w:rPr>
          <w:rFonts w:hint="default" w:ascii="Times New Roman" w:hAnsi="Times New Roman" w:eastAsia="仿宋_GB2312"/>
          <w:bCs/>
          <w:szCs w:val="20"/>
        </w:rPr>
      </w:pPr>
      <w:r>
        <w:rPr>
          <w:rFonts w:hint="default" w:ascii="Times New Roman" w:hAnsi="Times New Roman"/>
          <w:b/>
          <w:bCs/>
          <w:sz w:val="36"/>
          <w:szCs w:val="36"/>
        </w:rPr>
        <w:t>Chapter 7 Data sheet of contract terms</w:t>
      </w:r>
    </w:p>
    <w:p w14:paraId="5344D5D9">
      <w:pPr>
        <w:keepNext w:val="0"/>
        <w:keepLines w:val="0"/>
        <w:pageBreakBefore w:val="0"/>
        <w:kinsoku/>
        <w:wordWrap/>
        <w:overflowPunct/>
        <w:topLinePunct w:val="0"/>
        <w:bidi w:val="0"/>
        <w:snapToGrid/>
        <w:spacing w:beforeAutospacing="0" w:afterAutospacing="0" w:line="240" w:lineRule="auto"/>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The special clauses hereof shall supplement and amend the general clauses of the Contract. In the event of any inconsistency between them, the special clauses of the Contract shall prevail.</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7592"/>
      </w:tblGrid>
      <w:tr w14:paraId="7486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72788B0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pacing w:val="-10"/>
                <w:szCs w:val="24"/>
              </w:rPr>
            </w:pPr>
            <w:bookmarkStart w:id="15" w:name="OLE_LINK67" w:colFirst="0" w:colLast="1"/>
            <w:r>
              <w:rPr>
                <w:rFonts w:hint="default" w:ascii="Times New Roman" w:hAnsi="Times New Roman" w:cs="Times New Roman"/>
                <w:b/>
                <w:bCs/>
              </w:rPr>
              <w:t>Clause No.</w:t>
            </w:r>
          </w:p>
        </w:tc>
        <w:tc>
          <w:tcPr>
            <w:tcW w:w="4455" w:type="pct"/>
            <w:tcBorders>
              <w:top w:val="single" w:color="auto" w:sz="4" w:space="0"/>
              <w:left w:val="single" w:color="auto" w:sz="4" w:space="0"/>
              <w:bottom w:val="single" w:color="auto" w:sz="4" w:space="0"/>
              <w:right w:val="single" w:color="auto" w:sz="4" w:space="0"/>
            </w:tcBorders>
            <w:vAlign w:val="center"/>
          </w:tcPr>
          <w:p w14:paraId="7D7B3B1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Content</w:t>
            </w:r>
          </w:p>
        </w:tc>
      </w:tr>
      <w:tr w14:paraId="1E18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784B23A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1.1</w:t>
            </w:r>
          </w:p>
        </w:tc>
        <w:tc>
          <w:tcPr>
            <w:tcW w:w="4455" w:type="pct"/>
            <w:tcBorders>
              <w:top w:val="single" w:color="auto" w:sz="4" w:space="0"/>
              <w:left w:val="single" w:color="auto" w:sz="4" w:space="0"/>
              <w:bottom w:val="single" w:color="auto" w:sz="4" w:space="0"/>
              <w:right w:val="single" w:color="auto" w:sz="4" w:space="0"/>
            </w:tcBorders>
            <w:vAlign w:val="center"/>
          </w:tcPr>
          <w:p w14:paraId="34E5E90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 w:val="24"/>
                <w:szCs w:val="24"/>
              </w:rPr>
            </w:pPr>
            <w:bookmarkStart w:id="16" w:name="OLE_LINK17"/>
            <w:r>
              <w:rPr>
                <w:rFonts w:hint="default" w:ascii="Times New Roman" w:hAnsi="Times New Roman" w:cs="Times New Roman"/>
              </w:rPr>
              <w:t>Purchaser</w:t>
            </w:r>
            <w:bookmarkEnd w:id="16"/>
            <w:r>
              <w:rPr>
                <w:rFonts w:hint="default" w:ascii="Times New Roman" w:hAnsi="Times New Roman" w:cs="Times New Roman"/>
              </w:rPr>
              <w:t>: Institute of Advanced Light Source Facilities, Shenzhen</w:t>
            </w:r>
          </w:p>
          <w:p w14:paraId="728763B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Project site: Complex Building, Institute of Advanced Light Source Facilities, Shenzhen, No. 618, Lihu Subdistrict, Guangming District, Shenzhen</w:t>
            </w:r>
          </w:p>
        </w:tc>
      </w:tr>
      <w:tr w14:paraId="4333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16519D3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4.1</w:t>
            </w:r>
          </w:p>
        </w:tc>
        <w:tc>
          <w:tcPr>
            <w:tcW w:w="4455" w:type="pct"/>
            <w:tcBorders>
              <w:top w:val="single" w:color="auto" w:sz="4" w:space="0"/>
              <w:left w:val="single" w:color="auto" w:sz="4" w:space="0"/>
              <w:bottom w:val="single" w:color="auto" w:sz="4" w:space="0"/>
              <w:right w:val="single" w:color="auto" w:sz="4" w:space="0"/>
            </w:tcBorders>
            <w:vAlign w:val="center"/>
          </w:tcPr>
          <w:p w14:paraId="05220DE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The goods (including spare parts) provided by the Seller must be brand-new products, free from scratches, damage, defects, or hidden defects; they must be accompanied by complete technical documentation and bear the date of manufacture, manufacturer’s name, factory address, and certificate of conformity, among other required markings.</w:t>
            </w:r>
          </w:p>
        </w:tc>
      </w:tr>
      <w:tr w14:paraId="7065F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1CE9278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6.1</w:t>
            </w:r>
          </w:p>
        </w:tc>
        <w:tc>
          <w:tcPr>
            <w:tcW w:w="4455" w:type="pct"/>
            <w:tcBorders>
              <w:top w:val="single" w:color="auto" w:sz="4" w:space="0"/>
              <w:left w:val="single" w:color="auto" w:sz="4" w:space="0"/>
              <w:bottom w:val="single" w:color="auto" w:sz="4" w:space="0"/>
              <w:right w:val="single" w:color="auto" w:sz="4" w:space="0"/>
            </w:tcBorders>
            <w:vAlign w:val="center"/>
          </w:tcPr>
          <w:p w14:paraId="00E6107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(1) The Seller guarantees that the sourcing channels for the goods are lawful, and that the goods may be safely and legally used in the ordinary course of business. The Seller warrants that the Purchaser shall be held harmless from any lawsuits or judicial intervention brought by any third party alleging that the Purchaser’s use of the goods or any part thereof infringes upon the lawful rights and interests of the third party, including but not limited to copyrights, patents, trademarks, portrait rights, trade secrets, technical know-how, and other legitimate rights. In the event of any such lawsuit or judicial intervention, all legal liabilities (including but not limited to third-party claims against the Purchaser or any other losses suffered by the Purchaser) shall be borne by the Seller. After the Purchaser has assumed any such liability, the Purchaser shall have the right to seek full recourse against the Seller, including but not limited to all expenses incurred in resolving the dispute, such as litigation costs, attorney’s fees, and other associated costs.</w:t>
            </w:r>
          </w:p>
          <w:p w14:paraId="226B6D1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(2) If the goods delivered by the Seller include bundled software, the Seller warrants that it lawfully owns the independent intellectual property rights to such software (or holds a valid authorization license from the software copyright holder). In addition, the Seller shall guarantee that the Purchaser lawfully enjoys a perpetual, royalty-free right to use the said software. If the Seller fails to obtain the proprietary intellectual property rights or lawful usage rights to the bundled software, resulting in the Purchaser being unable to use the software on a perpetual, royalty-free basis, or causing the Purchaser to become involved in a dispute with a third party regarding the use of the software, the Seller shall compensate the Purchaser for all direct and indirect losses incurred.</w:t>
            </w:r>
          </w:p>
        </w:tc>
      </w:tr>
      <w:tr w14:paraId="379F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1A371AA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8</w:t>
            </w:r>
          </w:p>
        </w:tc>
        <w:tc>
          <w:tcPr>
            <w:tcW w:w="4455" w:type="pct"/>
            <w:tcBorders>
              <w:top w:val="single" w:color="auto" w:sz="4" w:space="0"/>
              <w:left w:val="single" w:color="auto" w:sz="4" w:space="0"/>
              <w:right w:val="single" w:color="auto" w:sz="4" w:space="0"/>
            </w:tcBorders>
          </w:tcPr>
          <w:p w14:paraId="3B67E97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bookmarkStart w:id="17" w:name="OLE_LINK64"/>
            <w:r>
              <w:rPr>
                <w:rFonts w:hint="default" w:ascii="Times New Roman" w:hAnsi="Times New Roman" w:cs="Times New Roman"/>
              </w:rPr>
              <w:t>8.1 The seller shall sign the acceptance report after the goods are inspected and approved by both parties, and the product warranty period shall be calculated from the date of acceptance, and the seller shall provide the product warranty documents.</w:t>
            </w:r>
          </w:p>
          <w:p w14:paraId="00716FF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 xml:space="preserve">8.2 The </w:t>
            </w:r>
            <w:r>
              <w:rPr>
                <w:rFonts w:hint="default" w:ascii="Times New Roman" w:hAnsi="Times New Roman" w:cs="Times New Roman"/>
                <w:lang w:eastAsia="zh-CN"/>
              </w:rPr>
              <w:t xml:space="preserve">Purchaser </w:t>
            </w:r>
            <w:r>
              <w:rPr>
                <w:rFonts w:hint="default" w:ascii="Times New Roman" w:hAnsi="Times New Roman" w:cs="Times New Roman"/>
              </w:rPr>
              <w:t>shall issue the Goods Inspection Report to the seller only when the following conditions are met:</w:t>
            </w:r>
          </w:p>
          <w:p w14:paraId="4E8C50E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 The seller has provided all the products and complete technical data in accordance with the contract.</w:t>
            </w:r>
          </w:p>
          <w:p w14:paraId="2350FFF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b. The goods meet the requirements of the technical specifications in the tender document, and the performance meets the requirements.</w:t>
            </w:r>
          </w:p>
          <w:p w14:paraId="0AA89E4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c. If the goods are domestic products, the product certificate must be provided.</w:t>
            </w:r>
          </w:p>
          <w:bookmarkEnd w:id="17"/>
          <w:p w14:paraId="2D5CE84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d. For imported goods, relevant customs declaration documents shall be provided.</w:t>
            </w:r>
          </w:p>
          <w:p w14:paraId="7EEB146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szCs w:val="24"/>
              </w:rPr>
            </w:pPr>
            <w:r>
              <w:rPr>
                <w:rFonts w:hint="default" w:ascii="Times New Roman" w:hAnsi="Times New Roman" w:cs="Times New Roman"/>
              </w:rPr>
              <w:t>e. A calibration report is required for this project; for equipment subject to mandatory inspection as stipulated by national regulations, a verification certificate shall also be provided.</w:t>
            </w:r>
          </w:p>
        </w:tc>
      </w:tr>
      <w:tr w14:paraId="297E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44" w:type="pct"/>
            <w:tcBorders>
              <w:top w:val="single" w:color="auto" w:sz="4" w:space="0"/>
              <w:left w:val="single" w:color="auto" w:sz="4" w:space="0"/>
              <w:right w:val="single" w:color="auto" w:sz="4" w:space="0"/>
            </w:tcBorders>
            <w:vAlign w:val="center"/>
          </w:tcPr>
          <w:p w14:paraId="3525A29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bookmarkStart w:id="18" w:name="OLE_LINK21"/>
            <w:r>
              <w:rPr>
                <w:rFonts w:hint="default" w:ascii="Times New Roman" w:hAnsi="Times New Roman" w:cs="Times New Roman"/>
                <w:b/>
                <w:bCs/>
              </w:rPr>
              <w:t>16.1</w:t>
            </w:r>
            <w:bookmarkEnd w:id="18"/>
          </w:p>
        </w:tc>
        <w:tc>
          <w:tcPr>
            <w:tcW w:w="4455" w:type="pct"/>
            <w:tcBorders>
              <w:top w:val="single" w:color="auto" w:sz="4" w:space="0"/>
              <w:left w:val="single" w:color="auto" w:sz="4" w:space="0"/>
              <w:bottom w:val="single" w:color="auto" w:sz="4" w:space="0"/>
              <w:right w:val="single" w:color="auto" w:sz="4" w:space="0"/>
            </w:tcBorders>
            <w:vAlign w:val="center"/>
          </w:tcPr>
          <w:p w14:paraId="6F74FF1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bookmarkStart w:id="19" w:name="OLE_LINK62"/>
            <w:r>
              <w:rPr>
                <w:rFonts w:hint="default" w:ascii="Times New Roman" w:hAnsi="Times New Roman" w:cs="Times New Roman"/>
                <w:b/>
                <w:bCs/>
              </w:rPr>
              <w:t>*(1) The free warranty period of the goods is not less than 1 year, and the time is calculated from the date of final acceptance and delivery. In the event of any quality issue during the warranty period, the Seller guarantees to arrive at the site within 24 hours of receiving notification to perform repairs or replacements.</w:t>
            </w:r>
          </w:p>
          <w:p w14:paraId="316AB5B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val="0"/>
                <w:bCs w:val="0"/>
                <w:szCs w:val="24"/>
              </w:rPr>
            </w:pPr>
            <w:r>
              <w:rPr>
                <w:rFonts w:hint="default" w:ascii="Times New Roman" w:hAnsi="Times New Roman" w:cs="Times New Roman"/>
                <w:b w:val="0"/>
                <w:bCs w:val="0"/>
              </w:rPr>
              <w:t>(2) The Seller shall carry out other after-sales service work in accordance with the commitments in its bidding documents. (Content of and requirements for after-sales service, proposed solutions for handling issues, warranty periods, as well as requirements for maintenance, technical training services, etc.)</w:t>
            </w:r>
          </w:p>
          <w:p w14:paraId="6FD6E55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*(3) Taking into account the Purchaser</w:t>
            </w:r>
            <w:r>
              <w:rPr>
                <w:rFonts w:hint="default" w:ascii="Times New Roman" w:hAnsi="Times New Roman" w:cs="Times New Roman"/>
                <w:b/>
                <w:bCs/>
                <w:lang w:val="en-US" w:eastAsia="zh-CN"/>
              </w:rPr>
              <w:t>'</w:t>
            </w:r>
            <w:r>
              <w:rPr>
                <w:rFonts w:hint="default" w:ascii="Times New Roman" w:hAnsi="Times New Roman" w:cs="Times New Roman"/>
                <w:b/>
                <w:bCs/>
              </w:rPr>
              <w:t>s specific circumstances, the Seller agrees to provide relocation services for the purchased instruments for one to two (1-2) times. All costs arising therefrom—including the dismantling and reassembly, commissioning, and training services for the instruments—are included in the bid price, and the Purchaser shall not be required to pay any additional fees.</w:t>
            </w:r>
            <w:bookmarkEnd w:id="19"/>
          </w:p>
        </w:tc>
      </w:tr>
      <w:tr w14:paraId="607E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48694BF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r>
              <w:rPr>
                <w:rFonts w:hint="default" w:ascii="Times New Roman" w:hAnsi="Times New Roman" w:cs="Times New Roman"/>
                <w:b/>
                <w:bCs/>
              </w:rPr>
              <w:t>*20.1</w:t>
            </w:r>
          </w:p>
        </w:tc>
        <w:tc>
          <w:tcPr>
            <w:tcW w:w="4455" w:type="pct"/>
            <w:tcBorders>
              <w:top w:val="single" w:color="auto" w:sz="4" w:space="0"/>
              <w:left w:val="single" w:color="auto" w:sz="4" w:space="0"/>
              <w:bottom w:val="single" w:color="auto" w:sz="4" w:space="0"/>
              <w:right w:val="single" w:color="auto" w:sz="4" w:space="0"/>
            </w:tcBorders>
            <w:vAlign w:val="center"/>
          </w:tcPr>
          <w:p w14:paraId="5D950EE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Payment shall be made in [two] installments:</w:t>
            </w:r>
          </w:p>
          <w:p w14:paraId="5F32114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(1) Advance Payment: After the contract is signed, the Purchaser shall pay 40% of the contract price to the Seller within the statutory time limit.</w:t>
            </w:r>
          </w:p>
          <w:p w14:paraId="0E9434B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szCs w:val="24"/>
              </w:rPr>
            </w:pPr>
            <w:r>
              <w:rPr>
                <w:rFonts w:hint="default" w:ascii="Times New Roman" w:hAnsi="Times New Roman" w:cs="Times New Roman"/>
                <w:b/>
                <w:bCs/>
              </w:rPr>
              <w:t>(2) Progress Payment: Upon the goods arriving at the designated location and passing acceptance inspection, the Purchaser shall pay the remaining 60% of the contract price to the Seller within the statutory time limit.</w:t>
            </w:r>
          </w:p>
          <w:p w14:paraId="6B8E8A9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szCs w:val="24"/>
              </w:rPr>
            </w:pPr>
            <w:r>
              <w:rPr>
                <w:rFonts w:hint="default" w:ascii="Times New Roman" w:hAnsi="Times New Roman" w:cs="Times New Roman"/>
                <w:b/>
                <w:bCs/>
              </w:rPr>
              <w:t xml:space="preserve">Note: The signing of domestic product contract refers to the signing of domestic goods purchase and sales contract, and the signing of import product contract refers to the signing of import goods purchase and sales contract, entrusted agent import agreement and foreign trade contract. The </w:t>
            </w:r>
            <w:r>
              <w:rPr>
                <w:rFonts w:hint="default" w:ascii="Times New Roman" w:hAnsi="Times New Roman" w:cs="Times New Roman"/>
                <w:b/>
                <w:bCs/>
                <w:lang w:eastAsia="zh-CN"/>
              </w:rPr>
              <w:t xml:space="preserve">Purchaser </w:t>
            </w:r>
            <w:r>
              <w:rPr>
                <w:rFonts w:hint="default" w:ascii="Times New Roman" w:hAnsi="Times New Roman" w:cs="Times New Roman"/>
                <w:b/>
                <w:bCs/>
              </w:rPr>
              <w:t>is responsible for handling the approval documents and tax exemption formalities for the import of goods in China, and entrusts a foreign trade company to handle the import business as an agent. The import agent fee shall be paid by the seller.</w:t>
            </w:r>
          </w:p>
        </w:tc>
      </w:tr>
      <w:tr w14:paraId="3F74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5"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0BCE370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
                <w:bCs/>
                <w:szCs w:val="24"/>
              </w:rPr>
            </w:pPr>
            <w:bookmarkStart w:id="20" w:name="OLE_LINK54" w:colFirst="1" w:colLast="1"/>
            <w:r>
              <w:rPr>
                <w:rFonts w:hint="default" w:ascii="Times New Roman" w:hAnsi="Times New Roman" w:cs="Times New Roman"/>
                <w:b/>
                <w:bCs/>
              </w:rPr>
              <w:t>*28.1</w:t>
            </w:r>
          </w:p>
        </w:tc>
        <w:tc>
          <w:tcPr>
            <w:tcW w:w="4455" w:type="pct"/>
            <w:tcBorders>
              <w:top w:val="single" w:color="auto" w:sz="4" w:space="0"/>
              <w:left w:val="single" w:color="auto" w:sz="4" w:space="0"/>
              <w:bottom w:val="single" w:color="auto" w:sz="4" w:space="0"/>
              <w:right w:val="single" w:color="auto" w:sz="4" w:space="0"/>
            </w:tcBorders>
            <w:vAlign w:val="center"/>
          </w:tcPr>
          <w:p w14:paraId="7B8C7FE9">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(1) In the event that the Seller fails to deliver the goods or fails to complete the installation and commissioning to a satisfactory standard by the agreed deadline, the Seller shall pay liquidated damages for late delivery to the Purchaser. The liquidated damages shall be calculated at 5‰ of the total goods price under this Agreement for each day of delay. The Purchaser shall have the right to directly deduct such liquidated damages from any contract payments due to the Seller. Moreover, the Purchaser shall have the option to either require the Seller to continue delivering the goods until they fully meet the requirements of this Project, or to terminate the contract in accordance with the provisions of Paragraph (4) of this Clause and hold the Seller liable for breach.</w:t>
            </w:r>
          </w:p>
          <w:p w14:paraId="58078D32">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(2) If the Seller or the warranty service provider fails to provide warranty services in line with provisions of the tender documents for this Project, the Purchaser shall have the right to engage a third party at its own discretion to provide the required technical support and after-sales services. All resulting costs and losses incurred thereby, including but not limited to the third-party maintenance expenses and any other economic losses suffered by the Purchaser, shall be borne by the warranty service provider and the Seller, who shall the bear joint and several liability for such compensation.</w:t>
            </w:r>
          </w:p>
          <w:p w14:paraId="4ACC3C38">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(3) If the goods provided by the Seller fail to comply with the provisions of the tender documents for this Project, or are unable to reach a normal operating condition, and consequently fail to pass the Purchaser’s acceptance inspection, or if they have passed acceptance inspection but are still within the warranty period, the Purchaser shall have the right to choose one of the following remedies:</w:t>
            </w:r>
          </w:p>
          <w:p w14:paraId="475A4E7C">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a. Reject the goods, terminate this Contract, and demand a refund from the Seller. Additionally, the Seller shall be required to pay liquidated damages equal to 10% of the total goods value, and all expenses incurred from the return of the goods shall be borne by the Seller;</w:t>
            </w:r>
          </w:p>
          <w:p w14:paraId="214E483E">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b. Accept the replacement goods redelivered by the Seller, which shall be deemed as late delivery. The Seller shall bear the liability for breach of contract in accordance with the provisions of Paragraph (1) of this Clause. The period of delay shall commence from the originally agreed delivery date, and shall continue until the date the replacement goods pass the Purchaser’s acceptance inspection;</w:t>
            </w:r>
          </w:p>
          <w:p w14:paraId="2390C5B4">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c. Require the Seller to ensure quality, provide warranty services, and maintain the goods. Moreover, the Purchaser shall have the right to require the Seller to replace or return the goods within a specified time limit, and the Seller shall bear the actual costs incurred for repairs, replacements, or returns. If the Seller fails to replace or return the goods within the time limit required by the Purchaser, it shall also bear the liability for breach of contract in accordance with the provisions of Paragraph (1) of this Clause. The delay period shall commence from the originally agreed delivery date;</w:t>
            </w:r>
          </w:p>
          <w:p w14:paraId="6A7467CF">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d. Accept the defective goods on a reserved basis. The Seller waives its right to part or all of the remaining balance for the goods, which shall be allocated as compensation to the Purchaser for such reserved acceptance. The exact amount of the waived remaining balance shall be determined at the Purchaser’s sole discretion. If the waived part or all of the remaining balance is insufficient to cover the losses suffered by the Purchaser, the Seller shall bear separate liability for additional compensation to the Purchaser.</w:t>
            </w:r>
          </w:p>
          <w:p w14:paraId="325C1F41">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(4) Under any of the following circumstances, the Purchaser shall have the right to terminate the contract. The Seller shall refund all payments previously made by the entrusted foreign trade agency on behalf of the Purchaser, and pay liquidated damages equal to 10% of the total agreement value to the Purchaser. If the liquidated damages are insufficient to cover the Purchaser’s losses, the Seller shall pay additional compensation to the Purchaser. The specific circumstances are as follows:</w:t>
            </w:r>
          </w:p>
          <w:p w14:paraId="0A343F27">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a. The goods delivered by the Seller infringe upon the intellectual property rights, portrait rights, technical secrets, trade secrets, or any other rights and interests of a third party;</w:t>
            </w:r>
          </w:p>
          <w:p w14:paraId="5D2536C2">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b. The Seller’s delivery of the goods, or the completion of installation and commissioning to a satisfactory standard, is delayed by more than 60 days;</w:t>
            </w:r>
          </w:p>
          <w:p w14:paraId="2463FFA2">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c. The Seller’s performance of its obligations fails to comply with the agreement, and the Seller fails to rectify the non-compliance within a reasonable time limit after being notified by the Purchaser;</w:t>
            </w:r>
          </w:p>
          <w:p w14:paraId="4673C42A">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d. Without the prior written consent of the Purchaser, the Seller assigns its rights or obligations under this Project, or subcontracts or delegates the services under this Project;</w:t>
            </w:r>
          </w:p>
          <w:p w14:paraId="4196CE7A">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e. Other circumstances stipulated by applicable laws.</w:t>
            </w:r>
          </w:p>
          <w:p w14:paraId="05239E4F">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(5) For the purposes of this Project, “losses” shall include direct economic losses, the expected profits obtainable upon the performance of this Agreement, and relevant legal costs such as reasonable investigation fees, appraisal fees, notarization fees, arbitration fees, litigation fees, travel expenses, attorney’s fees, and other related expenses.</w:t>
            </w:r>
          </w:p>
          <w:p w14:paraId="29C3BC14">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bCs/>
                <w:kern w:val="2"/>
                <w:sz w:val="21"/>
                <w:szCs w:val="21"/>
              </w:rPr>
            </w:pPr>
            <w:r>
              <w:rPr>
                <w:rFonts w:hint="default" w:ascii="Times New Roman" w:hAnsi="Times New Roman" w:cs="Times New Roman"/>
                <w:b/>
                <w:bCs/>
                <w:sz w:val="21"/>
                <w:szCs w:val="21"/>
              </w:rPr>
              <w:t>(6) The Seller agrees that, if the payment for the goods under this Project is made by the foreign trade agency to a party other than the Seller, the Seller shall be obligated to compel such other party to assume the same responsibility for refunding the goods payment as the Seller’s refund obligation stipulated in this Project. Furthermore, the Seller shall bear joint and several liability for the refund obligation of such other party.</w:t>
            </w:r>
          </w:p>
        </w:tc>
      </w:tr>
      <w:bookmarkEnd w:id="20"/>
      <w:tr w14:paraId="73DE3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tcBorders>
              <w:top w:val="single" w:color="auto" w:sz="4" w:space="0"/>
              <w:left w:val="single" w:color="auto" w:sz="4" w:space="0"/>
              <w:bottom w:val="single" w:color="auto" w:sz="4" w:space="0"/>
              <w:right w:val="single" w:color="auto" w:sz="4" w:space="0"/>
            </w:tcBorders>
            <w:vAlign w:val="center"/>
          </w:tcPr>
          <w:p w14:paraId="0FF8579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33</w:t>
            </w:r>
          </w:p>
        </w:tc>
        <w:tc>
          <w:tcPr>
            <w:tcW w:w="4455" w:type="pct"/>
            <w:tcBorders>
              <w:top w:val="single" w:color="auto" w:sz="4" w:space="0"/>
              <w:left w:val="single" w:color="auto" w:sz="4" w:space="0"/>
              <w:bottom w:val="single" w:color="auto" w:sz="4" w:space="0"/>
              <w:right w:val="single" w:color="auto" w:sz="4" w:space="0"/>
            </w:tcBorders>
            <w:vAlign w:val="center"/>
          </w:tcPr>
          <w:p w14:paraId="584719BD">
            <w:pPr>
              <w:pStyle w:val="3"/>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b w:val="0"/>
                <w:bCs w:val="0"/>
                <w:kern w:val="2"/>
                <w:sz w:val="21"/>
                <w:szCs w:val="21"/>
              </w:rPr>
            </w:pPr>
            <w:r>
              <w:rPr>
                <w:rFonts w:hint="default" w:ascii="Times New Roman" w:hAnsi="Times New Roman" w:cs="Times New Roman"/>
                <w:b w:val="0"/>
                <w:bCs w:val="0"/>
                <w:sz w:val="21"/>
                <w:szCs w:val="21"/>
              </w:rPr>
              <w:t>Language of the contract: The language of the contract is Chinese. If the contract is written in both Chinese and English, the two languages shall have the same legal effect. Unless otherwise agreed by both parties, in case of any inconsistency between Chinese and English, Chinese shall prevail. The contract-related letters exchanged by both parties shall be written in the contract language.</w:t>
            </w:r>
          </w:p>
        </w:tc>
      </w:tr>
      <w:tr w14:paraId="264B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274A9D1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34</w:t>
            </w:r>
          </w:p>
        </w:tc>
        <w:tc>
          <w:tcPr>
            <w:tcW w:w="4455" w:type="pct"/>
            <w:tcBorders>
              <w:top w:val="single" w:color="auto" w:sz="4" w:space="0"/>
              <w:left w:val="single" w:color="auto" w:sz="4" w:space="0"/>
              <w:bottom w:val="single" w:color="auto" w:sz="4" w:space="0"/>
              <w:right w:val="single" w:color="auto" w:sz="4" w:space="0"/>
            </w:tcBorders>
            <w:vAlign w:val="center"/>
          </w:tcPr>
          <w:p w14:paraId="0C80969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Cs w:val="24"/>
              </w:rPr>
            </w:pPr>
            <w:r>
              <w:rPr>
                <w:rFonts w:hint="default" w:ascii="Times New Roman" w:hAnsi="Times New Roman" w:cs="Times New Roman"/>
              </w:rPr>
              <w:t>Applicable Law: This Contract shall be interpreted in accordance with the laws of the People's Republic of China.</w:t>
            </w:r>
          </w:p>
        </w:tc>
      </w:tr>
      <w:tr w14:paraId="2E24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44" w:type="pct"/>
            <w:tcBorders>
              <w:top w:val="single" w:color="auto" w:sz="4" w:space="0"/>
              <w:left w:val="single" w:color="auto" w:sz="4" w:space="0"/>
              <w:bottom w:val="single" w:color="auto" w:sz="4" w:space="0"/>
              <w:right w:val="single" w:color="auto" w:sz="4" w:space="0"/>
            </w:tcBorders>
            <w:vAlign w:val="center"/>
          </w:tcPr>
          <w:p w14:paraId="38F8183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35</w:t>
            </w:r>
          </w:p>
        </w:tc>
        <w:tc>
          <w:tcPr>
            <w:tcW w:w="4455" w:type="pct"/>
            <w:tcBorders>
              <w:top w:val="single" w:color="auto" w:sz="4" w:space="0"/>
              <w:left w:val="single" w:color="auto" w:sz="4" w:space="0"/>
              <w:bottom w:val="single" w:color="auto" w:sz="4" w:space="0"/>
              <w:right w:val="single" w:color="auto" w:sz="4" w:space="0"/>
            </w:tcBorders>
            <w:vAlign w:val="center"/>
          </w:tcPr>
          <w:p w14:paraId="46ADE0E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 w:val="24"/>
                <w:szCs w:val="24"/>
              </w:rPr>
            </w:pPr>
            <w:r>
              <w:rPr>
                <w:rFonts w:hint="default" w:ascii="Times New Roman" w:hAnsi="Times New Roman" w:cs="Times New Roman"/>
              </w:rPr>
              <w:t xml:space="preserve">Delivery address of seller's notice: The place designated by the </w:t>
            </w:r>
            <w:r>
              <w:rPr>
                <w:rFonts w:hint="default" w:ascii="Times New Roman" w:hAnsi="Times New Roman" w:cs="Times New Roman"/>
                <w:lang w:eastAsia="zh-CN"/>
              </w:rPr>
              <w:t xml:space="preserve">Purchaser </w:t>
            </w:r>
            <w:r>
              <w:rPr>
                <w:rFonts w:hint="default" w:ascii="Times New Roman" w:hAnsi="Times New Roman" w:cs="Times New Roman"/>
              </w:rPr>
              <w:t>.</w:t>
            </w:r>
            <w:bookmarkStart w:id="21" w:name="OLE_LINK53"/>
            <w:bookmarkEnd w:id="21"/>
          </w:p>
        </w:tc>
      </w:tr>
      <w:bookmarkEnd w:id="15"/>
    </w:tbl>
    <w:p w14:paraId="4E1D35BD">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 w:val="36"/>
          <w:szCs w:val="36"/>
        </w:rPr>
      </w:pPr>
      <w:r>
        <w:rPr>
          <w:rFonts w:ascii="Times New Roman" w:hAnsi="Times New Roman" w:cs="Times New Roman"/>
        </w:rPr>
        <w:br w:type="page"/>
      </w:r>
    </w:p>
    <w:p w14:paraId="08632354">
      <w:pPr>
        <w:pStyle w:val="2"/>
        <w:keepNext w:val="0"/>
        <w:keepLines w:val="0"/>
        <w:pageBreakBefore w:val="0"/>
        <w:kinsoku/>
        <w:wordWrap/>
        <w:overflowPunct/>
        <w:topLinePunct w:val="0"/>
        <w:bidi w:val="0"/>
        <w:snapToGrid/>
        <w:spacing w:beforeAutospacing="0" w:afterAutospacing="0" w:line="240" w:lineRule="auto"/>
        <w:jc w:val="center"/>
        <w:textAlignment w:val="auto"/>
        <w:rPr>
          <w:rFonts w:hint="default" w:ascii="Times New Roman" w:hAnsi="Times New Roman" w:eastAsia="仿宋_GB2312"/>
          <w:bCs/>
          <w:szCs w:val="20"/>
        </w:rPr>
      </w:pPr>
      <w:r>
        <w:rPr>
          <w:rFonts w:hint="default" w:ascii="Times New Roman" w:hAnsi="Times New Roman"/>
          <w:b/>
          <w:bCs/>
          <w:sz w:val="36"/>
          <w:szCs w:val="36"/>
        </w:rPr>
        <w:t>Chapter 8 List of goods requirement and technical specifications and requirements</w:t>
      </w:r>
    </w:p>
    <w:p w14:paraId="09009C69">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szCs w:val="24"/>
        </w:rPr>
      </w:pPr>
      <w:r>
        <w:rPr>
          <w:rFonts w:ascii="Times New Roman" w:hAnsi="Times New Roman" w:cs="Times New Roman"/>
        </w:rPr>
        <w:t>I. List of goods requirement and technical specifications</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4373"/>
        <w:gridCol w:w="1548"/>
        <w:gridCol w:w="1528"/>
      </w:tblGrid>
      <w:tr w14:paraId="106E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28" w:type="pct"/>
            <w:vAlign w:val="center"/>
          </w:tcPr>
          <w:p w14:paraId="6A28110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bookmarkStart w:id="22" w:name="OLE_LINK6" w:colFirst="6" w:colLast="6"/>
            <w:r>
              <w:rPr>
                <w:rFonts w:hint="default" w:ascii="Times New Roman" w:hAnsi="Times New Roman" w:cs="Times New Roman"/>
              </w:rPr>
              <w:t>Serial number</w:t>
            </w:r>
          </w:p>
        </w:tc>
        <w:tc>
          <w:tcPr>
            <w:tcW w:w="2566" w:type="pct"/>
            <w:vAlign w:val="center"/>
          </w:tcPr>
          <w:p w14:paraId="6CFC826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Equipment name</w:t>
            </w:r>
          </w:p>
        </w:tc>
        <w:tc>
          <w:tcPr>
            <w:tcW w:w="908" w:type="pct"/>
            <w:vAlign w:val="center"/>
          </w:tcPr>
          <w:p w14:paraId="2E752FD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Quantity</w:t>
            </w:r>
          </w:p>
        </w:tc>
        <w:tc>
          <w:tcPr>
            <w:tcW w:w="896" w:type="pct"/>
            <w:vAlign w:val="center"/>
          </w:tcPr>
          <w:p w14:paraId="1EC2169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Unit</w:t>
            </w:r>
          </w:p>
        </w:tc>
      </w:tr>
      <w:bookmarkEnd w:id="22"/>
      <w:tr w14:paraId="3B61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28" w:type="pct"/>
            <w:vAlign w:val="center"/>
          </w:tcPr>
          <w:p w14:paraId="65719D4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bookmarkStart w:id="23" w:name="OLE_LINK47" w:colFirst="0" w:colLast="0"/>
            <w:bookmarkStart w:id="24" w:name="_Hlk456188310"/>
            <w:r>
              <w:rPr>
                <w:rFonts w:hint="default" w:ascii="Times New Roman" w:hAnsi="Times New Roman" w:cs="Times New Roman"/>
              </w:rPr>
              <w:t>1</w:t>
            </w:r>
          </w:p>
        </w:tc>
        <w:tc>
          <w:tcPr>
            <w:tcW w:w="2566" w:type="pct"/>
            <w:vAlign w:val="center"/>
          </w:tcPr>
          <w:p w14:paraId="765C077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Fluxgate</w:t>
            </w:r>
          </w:p>
        </w:tc>
        <w:tc>
          <w:tcPr>
            <w:tcW w:w="908" w:type="pct"/>
            <w:vAlign w:val="center"/>
          </w:tcPr>
          <w:p w14:paraId="230A483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215</w:t>
            </w:r>
          </w:p>
        </w:tc>
        <w:tc>
          <w:tcPr>
            <w:tcW w:w="896" w:type="pct"/>
            <w:vAlign w:val="center"/>
          </w:tcPr>
          <w:p w14:paraId="16C9A0A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Set</w:t>
            </w:r>
          </w:p>
        </w:tc>
      </w:tr>
      <w:bookmarkEnd w:id="23"/>
      <w:bookmarkEnd w:id="24"/>
    </w:tbl>
    <w:p w14:paraId="4898E05F">
      <w:pPr>
        <w:pStyle w:val="8"/>
        <w:keepNext w:val="0"/>
        <w:keepLines w:val="0"/>
        <w:pageBreakBefore w:val="0"/>
        <w:kinsoku/>
        <w:wordWrap/>
        <w:overflowPunct/>
        <w:topLinePunct w:val="0"/>
        <w:bidi w:val="0"/>
        <w:snapToGrid/>
        <w:spacing w:beforeAutospacing="0" w:after="0" w:afterAutospacing="0" w:line="240" w:lineRule="auto"/>
        <w:textAlignment w:val="auto"/>
        <w:rPr>
          <w:rFonts w:ascii="Times New Roman" w:hAnsi="Times New Roman" w:cs="Times New Roman"/>
        </w:rPr>
      </w:pPr>
    </w:p>
    <w:p w14:paraId="17AEA253">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sz w:val="24"/>
          <w:szCs w:val="24"/>
        </w:rPr>
      </w:pPr>
      <w:bookmarkStart w:id="25" w:name="OLE_LINK11"/>
      <w:r>
        <w:rPr>
          <w:rFonts w:ascii="Times New Roman" w:hAnsi="Times New Roman" w:cs="Times New Roman"/>
        </w:rPr>
        <w:br w:type="page"/>
      </w:r>
    </w:p>
    <w:p w14:paraId="1D570C1A">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b/>
          <w:bCs/>
        </w:rPr>
      </w:pPr>
      <w:r>
        <w:rPr>
          <w:rFonts w:ascii="Times New Roman" w:hAnsi="Times New Roman" w:cs="Times New Roman"/>
          <w:b/>
          <w:bCs/>
        </w:rPr>
        <w:t>II. Technical specifications and requirements</w:t>
      </w:r>
      <w:bookmarkEnd w:id="25"/>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375"/>
        <w:gridCol w:w="3143"/>
        <w:gridCol w:w="3143"/>
      </w:tblGrid>
      <w:tr w14:paraId="7FB18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3" w:type="pct"/>
            <w:vAlign w:val="center"/>
          </w:tcPr>
          <w:p w14:paraId="3F5CBC5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highlight w:val="none"/>
              </w:rPr>
            </w:pPr>
            <w:r>
              <w:rPr>
                <w:rFonts w:hint="default" w:ascii="Times New Roman" w:hAnsi="Times New Roman" w:cs="Times New Roman"/>
                <w:highlight w:val="none"/>
              </w:rPr>
              <w:t>Serial number</w:t>
            </w:r>
          </w:p>
        </w:tc>
        <w:tc>
          <w:tcPr>
            <w:tcW w:w="807" w:type="pct"/>
            <w:vAlign w:val="center"/>
          </w:tcPr>
          <w:p w14:paraId="07DDFB1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highlight w:val="none"/>
              </w:rPr>
            </w:pPr>
            <w:r>
              <w:rPr>
                <w:rFonts w:hint="default" w:ascii="Times New Roman" w:hAnsi="Times New Roman" w:cs="Times New Roman"/>
                <w:highlight w:val="none"/>
              </w:rPr>
              <w:t>Goods name</w:t>
            </w:r>
          </w:p>
        </w:tc>
        <w:tc>
          <w:tcPr>
            <w:tcW w:w="1844" w:type="pct"/>
            <w:vAlign w:val="center"/>
          </w:tcPr>
          <w:p w14:paraId="1FE8DA6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highlight w:val="none"/>
              </w:rPr>
            </w:pPr>
            <w:r>
              <w:rPr>
                <w:rFonts w:hint="default" w:ascii="Times New Roman" w:hAnsi="Times New Roman" w:cs="Times New Roman"/>
                <w:highlight w:val="none"/>
              </w:rPr>
              <w:t>Configuration name</w:t>
            </w:r>
          </w:p>
        </w:tc>
        <w:tc>
          <w:tcPr>
            <w:tcW w:w="1844" w:type="pct"/>
            <w:vAlign w:val="center"/>
          </w:tcPr>
          <w:p w14:paraId="0D52A4E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highlight w:val="none"/>
              </w:rPr>
            </w:pPr>
            <w:r>
              <w:rPr>
                <w:rFonts w:hint="default" w:ascii="Times New Roman" w:hAnsi="Times New Roman" w:cs="Times New Roman"/>
                <w:highlight w:val="none"/>
              </w:rPr>
              <w:t>Technical parameters requirement</w:t>
            </w:r>
          </w:p>
        </w:tc>
      </w:tr>
      <w:tr w14:paraId="4503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03" w:type="pct"/>
            <w:vMerge w:val="restart"/>
            <w:vAlign w:val="center"/>
          </w:tcPr>
          <w:p w14:paraId="582C698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1</w:t>
            </w:r>
          </w:p>
        </w:tc>
        <w:tc>
          <w:tcPr>
            <w:tcW w:w="807" w:type="pct"/>
            <w:vMerge w:val="restart"/>
            <w:vAlign w:val="center"/>
          </w:tcPr>
          <w:p w14:paraId="172359D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Fluxgate</w:t>
            </w:r>
          </w:p>
        </w:tc>
        <w:tc>
          <w:tcPr>
            <w:tcW w:w="1844" w:type="pct"/>
            <w:vMerge w:val="restart"/>
            <w:vAlign w:val="center"/>
          </w:tcPr>
          <w:p w14:paraId="6F4190D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r>
              <w:rPr>
                <w:rFonts w:hint="default" w:ascii="Times New Roman" w:hAnsi="Times New Roman" w:cs="Times New Roman"/>
                <w:sz w:val="21"/>
                <w:szCs w:val="21"/>
                <w:highlight w:val="none"/>
              </w:rPr>
              <w:t>Fluxgate Readout Meter</w:t>
            </w:r>
          </w:p>
        </w:tc>
        <w:tc>
          <w:tcPr>
            <w:tcW w:w="1844" w:type="pct"/>
            <w:vAlign w:val="center"/>
          </w:tcPr>
          <w:p w14:paraId="1C82A703">
            <w:pPr>
              <w:keepNext w:val="0"/>
              <w:keepLines w:val="0"/>
              <w:pageBreakBefore w:val="0"/>
              <w:widowControl/>
              <w:numPr>
                <w:ilvl w:val="0"/>
                <w:numId w:val="16"/>
              </w:numPr>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 w:val="21"/>
                <w:szCs w:val="21"/>
                <w:highlight w:val="none"/>
              </w:rPr>
            </w:pPr>
            <w:r>
              <w:rPr>
                <w:rFonts w:hint="default" w:ascii="Times New Roman" w:hAnsi="Times New Roman" w:eastAsia="宋体" w:cs="Times New Roman"/>
                <w:sz w:val="21"/>
                <w:szCs w:val="21"/>
                <w:highlight w:val="none"/>
              </w:rPr>
              <w:t>Number of Axes: 1</w:t>
            </w:r>
            <w:r>
              <w:rPr>
                <w:rFonts w:hint="default" w:ascii="Times New Roman" w:hAnsi="Times New Roman" w:eastAsia="宋体" w:cs="Times New Roman"/>
                <w:sz w:val="21"/>
                <w:szCs w:val="21"/>
                <w:highlight w:val="none"/>
                <w:lang w:val="en-US" w:eastAsia="zh-CN"/>
              </w:rPr>
              <w:t>.</w:t>
            </w:r>
          </w:p>
        </w:tc>
      </w:tr>
      <w:tr w14:paraId="2F95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03" w:type="pct"/>
            <w:vMerge w:val="continue"/>
            <w:vAlign w:val="center"/>
          </w:tcPr>
          <w:p w14:paraId="1AB42BA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807" w:type="pct"/>
            <w:vMerge w:val="continue"/>
            <w:vAlign w:val="center"/>
          </w:tcPr>
          <w:p w14:paraId="323E186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1844" w:type="pct"/>
            <w:vMerge w:val="continue"/>
            <w:vAlign w:val="center"/>
          </w:tcPr>
          <w:p w14:paraId="1E62919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sz w:val="21"/>
                <w:szCs w:val="21"/>
                <w:highlight w:val="none"/>
              </w:rPr>
            </w:pPr>
          </w:p>
        </w:tc>
        <w:tc>
          <w:tcPr>
            <w:tcW w:w="1844" w:type="pct"/>
            <w:vAlign w:val="center"/>
          </w:tcPr>
          <w:p w14:paraId="757A0B5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color w:val="FF0000"/>
                <w:sz w:val="21"/>
                <w:szCs w:val="21"/>
                <w:highlight w:val="none"/>
              </w:rPr>
            </w:pPr>
            <w:r>
              <w:rPr>
                <w:rFonts w:hint="default" w:ascii="Times New Roman" w:hAnsi="Times New Roman" w:eastAsia="宋体" w:cs="Times New Roman"/>
                <w:b/>
                <w:bCs/>
                <w:color w:val="FF0000"/>
                <w:sz w:val="21"/>
                <w:szCs w:val="21"/>
                <w:highlight w:val="none"/>
                <w:lang w:val="en-US" w:eastAsia="zh-CN"/>
              </w:rPr>
              <w:t xml:space="preserve">*2. </w:t>
            </w:r>
            <w:r>
              <w:rPr>
                <w:rFonts w:hint="default" w:ascii="Times New Roman" w:hAnsi="Times New Roman" w:eastAsia="宋体" w:cs="Times New Roman"/>
                <w:b/>
                <w:bCs/>
                <w:color w:val="FF0000"/>
                <w:sz w:val="21"/>
                <w:szCs w:val="21"/>
                <w:highlight w:val="none"/>
              </w:rPr>
              <w:t>Scaling error: ≤±0.25% @ Test Value</w:t>
            </w:r>
          </w:p>
        </w:tc>
      </w:tr>
      <w:tr w14:paraId="7BE3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03" w:type="pct"/>
            <w:vMerge w:val="continue"/>
            <w:vAlign w:val="center"/>
          </w:tcPr>
          <w:p w14:paraId="1CF7D5E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807" w:type="pct"/>
            <w:vMerge w:val="continue"/>
            <w:vAlign w:val="center"/>
          </w:tcPr>
          <w:p w14:paraId="4C7711C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1844" w:type="pct"/>
            <w:vMerge w:val="continue"/>
            <w:vAlign w:val="center"/>
          </w:tcPr>
          <w:p w14:paraId="6F78F00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sz w:val="21"/>
                <w:szCs w:val="21"/>
                <w:highlight w:val="none"/>
              </w:rPr>
            </w:pPr>
          </w:p>
        </w:tc>
        <w:tc>
          <w:tcPr>
            <w:tcW w:w="1844" w:type="pct"/>
            <w:vAlign w:val="center"/>
          </w:tcPr>
          <w:p w14:paraId="3CE0DF6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color w:val="FF0000"/>
                <w:sz w:val="21"/>
                <w:szCs w:val="21"/>
                <w:highlight w:val="none"/>
              </w:rPr>
            </w:pPr>
            <w:r>
              <w:rPr>
                <w:rFonts w:hint="default" w:ascii="Times New Roman" w:hAnsi="Times New Roman" w:eastAsia="宋体" w:cs="Times New Roman"/>
                <w:b/>
                <w:bCs/>
                <w:color w:val="FF0000"/>
                <w:sz w:val="21"/>
                <w:szCs w:val="21"/>
                <w:highlight w:val="none"/>
                <w:lang w:val="en-US" w:eastAsia="zh-CN"/>
              </w:rPr>
              <w:t xml:space="preserve">*3. </w:t>
            </w:r>
            <w:r>
              <w:rPr>
                <w:rFonts w:hint="default" w:ascii="Times New Roman" w:hAnsi="Times New Roman" w:eastAsia="宋体" w:cs="Times New Roman"/>
                <w:b/>
                <w:bCs/>
                <w:color w:val="FF0000"/>
                <w:sz w:val="21"/>
                <w:szCs w:val="21"/>
                <w:highlight w:val="none"/>
              </w:rPr>
              <w:t>Resolution: ≤0.1 nT (Resolution of the complete system)</w:t>
            </w:r>
          </w:p>
        </w:tc>
      </w:tr>
      <w:tr w14:paraId="54E3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03" w:type="pct"/>
            <w:vMerge w:val="continue"/>
            <w:vAlign w:val="center"/>
          </w:tcPr>
          <w:p w14:paraId="539D1AD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807" w:type="pct"/>
            <w:vMerge w:val="continue"/>
            <w:vAlign w:val="center"/>
          </w:tcPr>
          <w:p w14:paraId="3E15447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1844" w:type="pct"/>
            <w:vMerge w:val="continue"/>
            <w:vAlign w:val="center"/>
          </w:tcPr>
          <w:p w14:paraId="45BE5B4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sz w:val="21"/>
                <w:szCs w:val="21"/>
                <w:highlight w:val="none"/>
              </w:rPr>
            </w:pPr>
          </w:p>
        </w:tc>
        <w:tc>
          <w:tcPr>
            <w:tcW w:w="1844" w:type="pct"/>
            <w:vAlign w:val="center"/>
          </w:tcPr>
          <w:p w14:paraId="677E14F9">
            <w:pPr>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240" w:lineRule="auto"/>
              <w:ind w:left="0" w:leftChars="0" w:right="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 xml:space="preserve">4. </w:t>
            </w:r>
            <w:r>
              <w:rPr>
                <w:rFonts w:hint="default" w:ascii="Times New Roman" w:hAnsi="Times New Roman" w:eastAsia="宋体" w:cs="Times New Roman"/>
                <w:sz w:val="21"/>
                <w:szCs w:val="21"/>
                <w:highlight w:val="none"/>
              </w:rPr>
              <w:t>Equipped with analog output function</w:t>
            </w:r>
          </w:p>
        </w:tc>
      </w:tr>
      <w:tr w14:paraId="373C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03" w:type="pct"/>
            <w:vMerge w:val="continue"/>
            <w:vAlign w:val="center"/>
          </w:tcPr>
          <w:p w14:paraId="23ED1F9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807" w:type="pct"/>
            <w:vMerge w:val="continue"/>
            <w:vAlign w:val="center"/>
          </w:tcPr>
          <w:p w14:paraId="595487F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1844" w:type="pct"/>
            <w:vMerge w:val="continue"/>
            <w:vAlign w:val="center"/>
          </w:tcPr>
          <w:p w14:paraId="3D55225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sz w:val="21"/>
                <w:szCs w:val="21"/>
                <w:highlight w:val="none"/>
              </w:rPr>
            </w:pPr>
          </w:p>
        </w:tc>
        <w:tc>
          <w:tcPr>
            <w:tcW w:w="1844" w:type="pct"/>
            <w:vAlign w:val="center"/>
          </w:tcPr>
          <w:p w14:paraId="2736CE6C">
            <w:pPr>
              <w:keepNext w:val="0"/>
              <w:keepLines w:val="0"/>
              <w:pageBreakBefore w:val="0"/>
              <w:widowControl/>
              <w:numPr>
                <w:ilvl w:val="0"/>
                <w:numId w:val="17"/>
              </w:numPr>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Suitable for 220V 50Hz power supply</w:t>
            </w:r>
          </w:p>
        </w:tc>
      </w:tr>
      <w:tr w14:paraId="3ADE3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503" w:type="pct"/>
            <w:vMerge w:val="continue"/>
            <w:vAlign w:val="center"/>
          </w:tcPr>
          <w:p w14:paraId="5A695B8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807" w:type="pct"/>
            <w:vMerge w:val="continue"/>
            <w:vAlign w:val="center"/>
          </w:tcPr>
          <w:p w14:paraId="63EB40E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1844" w:type="pct"/>
            <w:vMerge w:val="continue"/>
            <w:vAlign w:val="center"/>
          </w:tcPr>
          <w:p w14:paraId="7F28B9A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sz w:val="21"/>
                <w:szCs w:val="21"/>
                <w:highlight w:val="none"/>
              </w:rPr>
            </w:pPr>
          </w:p>
        </w:tc>
        <w:tc>
          <w:tcPr>
            <w:tcW w:w="1844" w:type="pct"/>
            <w:vAlign w:val="center"/>
          </w:tcPr>
          <w:p w14:paraId="3F964B76">
            <w:pPr>
              <w:keepNext w:val="0"/>
              <w:keepLines w:val="0"/>
              <w:pageBreakBefore w:val="0"/>
              <w:widowControl/>
              <w:numPr>
                <w:ilvl w:val="0"/>
                <w:numId w:val="17"/>
              </w:numPr>
              <w:suppressLineNumbers w:val="0"/>
              <w:kinsoku/>
              <w:wordWrap/>
              <w:overflowPunct/>
              <w:topLinePunct w:val="0"/>
              <w:bidi w:val="0"/>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Scale Temperature Coefficient: ≤10ppm/℃</w:t>
            </w:r>
          </w:p>
        </w:tc>
      </w:tr>
      <w:tr w14:paraId="706BE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503" w:type="pct"/>
            <w:vMerge w:val="continue"/>
            <w:vAlign w:val="center"/>
          </w:tcPr>
          <w:p w14:paraId="24BDCA6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807" w:type="pct"/>
            <w:vMerge w:val="continue"/>
            <w:vAlign w:val="center"/>
          </w:tcPr>
          <w:p w14:paraId="0AC3456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Merge w:val="continue"/>
            <w:vAlign w:val="center"/>
          </w:tcPr>
          <w:p w14:paraId="26D16BC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sz w:val="21"/>
                <w:szCs w:val="21"/>
                <w:highlight w:val="none"/>
              </w:rPr>
            </w:pPr>
          </w:p>
        </w:tc>
        <w:tc>
          <w:tcPr>
            <w:tcW w:w="1844" w:type="pct"/>
            <w:vAlign w:val="center"/>
          </w:tcPr>
          <w:p w14:paraId="7DD78FD7">
            <w:pPr>
              <w:keepNext w:val="0"/>
              <w:keepLines w:val="0"/>
              <w:pageBreakBefore w:val="0"/>
              <w:widowControl/>
              <w:numPr>
                <w:ilvl w:val="0"/>
                <w:numId w:val="17"/>
              </w:numPr>
              <w:suppressLineNumbers w:val="0"/>
              <w:kinsoku/>
              <w:wordWrap/>
              <w:overflowPunct/>
              <w:topLinePunct w:val="0"/>
              <w:bidi w:val="0"/>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Offset Temperature Coefficient: ≤0.01nT/℃</w:t>
            </w:r>
          </w:p>
        </w:tc>
      </w:tr>
      <w:tr w14:paraId="6590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503" w:type="pct"/>
            <w:vMerge w:val="continue"/>
            <w:vAlign w:val="center"/>
          </w:tcPr>
          <w:p w14:paraId="7893E12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szCs w:val="21"/>
                <w:highlight w:val="none"/>
              </w:rPr>
            </w:pPr>
          </w:p>
        </w:tc>
        <w:tc>
          <w:tcPr>
            <w:tcW w:w="807" w:type="pct"/>
            <w:vMerge w:val="continue"/>
            <w:vAlign w:val="center"/>
          </w:tcPr>
          <w:p w14:paraId="2B3E1C5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szCs w:val="21"/>
                <w:highlight w:val="none"/>
              </w:rPr>
            </w:pPr>
          </w:p>
        </w:tc>
        <w:tc>
          <w:tcPr>
            <w:tcW w:w="1844" w:type="pct"/>
            <w:vMerge w:val="continue"/>
            <w:vAlign w:val="center"/>
          </w:tcPr>
          <w:p w14:paraId="3939749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sz w:val="21"/>
                <w:szCs w:val="21"/>
                <w:highlight w:val="none"/>
              </w:rPr>
            </w:pPr>
          </w:p>
        </w:tc>
        <w:tc>
          <w:tcPr>
            <w:tcW w:w="1844" w:type="pct"/>
            <w:vAlign w:val="center"/>
          </w:tcPr>
          <w:p w14:paraId="4717F40E">
            <w:pPr>
              <w:keepNext w:val="0"/>
              <w:keepLines w:val="0"/>
              <w:pageBreakBefore w:val="0"/>
              <w:widowControl/>
              <w:numPr>
                <w:ilvl w:val="0"/>
                <w:numId w:val="17"/>
              </w:numPr>
              <w:suppressLineNumbers w:val="0"/>
              <w:kinsoku/>
              <w:wordWrap/>
              <w:overflowPunct/>
              <w:topLinePunct w:val="0"/>
              <w:bidi w:val="0"/>
              <w:snapToGrid/>
              <w:spacing w:before="0" w:beforeAutospacing="0" w:after="0" w:afterAutospacing="0" w:line="240" w:lineRule="auto"/>
              <w:ind w:left="0" w:leftChars="0" w:right="0" w:firstLine="0" w:firstLineChars="0"/>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The bidding (response) documents shall provide color brochures of the tendered product</w:t>
            </w:r>
          </w:p>
        </w:tc>
      </w:tr>
      <w:tr w14:paraId="3F4B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3" w:type="pct"/>
            <w:vMerge w:val="restart"/>
            <w:vAlign w:val="center"/>
          </w:tcPr>
          <w:p w14:paraId="72DB261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2</w:t>
            </w:r>
          </w:p>
        </w:tc>
        <w:tc>
          <w:tcPr>
            <w:tcW w:w="807" w:type="pct"/>
            <w:vMerge w:val="continue"/>
            <w:vAlign w:val="center"/>
          </w:tcPr>
          <w:p w14:paraId="4E6A357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1844" w:type="pct"/>
            <w:vMerge w:val="restart"/>
            <w:vAlign w:val="center"/>
          </w:tcPr>
          <w:p w14:paraId="507CA79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Fluxgate Probe</w:t>
            </w:r>
          </w:p>
        </w:tc>
        <w:tc>
          <w:tcPr>
            <w:tcW w:w="1844" w:type="pct"/>
            <w:vAlign w:val="center"/>
          </w:tcPr>
          <w:p w14:paraId="4B5BA60E">
            <w:pPr>
              <w:keepNext w:val="0"/>
              <w:keepLines w:val="0"/>
              <w:pageBreakBefore w:val="0"/>
              <w:widowControl/>
              <w:numPr>
                <w:ilvl w:val="0"/>
                <w:numId w:val="18"/>
              </w:numPr>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Number of axes: 1.</w:t>
            </w:r>
          </w:p>
        </w:tc>
      </w:tr>
      <w:tr w14:paraId="5F8D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3" w:type="pct"/>
            <w:vMerge w:val="continue"/>
            <w:vAlign w:val="center"/>
          </w:tcPr>
          <w:p w14:paraId="5CA9560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807" w:type="pct"/>
            <w:vMerge w:val="continue"/>
            <w:vAlign w:val="center"/>
          </w:tcPr>
          <w:p w14:paraId="5893FD2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Merge w:val="continue"/>
            <w:vAlign w:val="center"/>
          </w:tcPr>
          <w:p w14:paraId="0353952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Align w:val="center"/>
          </w:tcPr>
          <w:p w14:paraId="5A91E5CB">
            <w:pPr>
              <w:keepNext w:val="0"/>
              <w:keepLines w:val="0"/>
              <w:pageBreakBefore w:val="0"/>
              <w:widowControl/>
              <w:numPr>
                <w:ilvl w:val="0"/>
                <w:numId w:val="18"/>
              </w:numPr>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szCs w:val="21"/>
                <w:highlight w:val="none"/>
              </w:rPr>
            </w:pPr>
            <w:r>
              <w:rPr>
                <w:rFonts w:hint="default" w:ascii="Times New Roman" w:hAnsi="Times New Roman" w:eastAsia="宋体" w:cs="Times New Roman"/>
                <w:sz w:val="21"/>
                <w:szCs w:val="21"/>
                <w:highlight w:val="none"/>
              </w:rPr>
              <w:t>Scaling erro</w:t>
            </w:r>
            <w:r>
              <w:rPr>
                <w:rFonts w:hint="eastAsia" w:ascii="Times New Roman" w:hAnsi="Times New Roman" w:eastAsia="宋体" w:cs="Times New Roman"/>
                <w:sz w:val="21"/>
                <w:szCs w:val="21"/>
                <w:highlight w:val="none"/>
                <w:lang w:val="en-US" w:eastAsia="zh-CN"/>
              </w:rPr>
              <w:t>r</w:t>
            </w:r>
            <w:r>
              <w:rPr>
                <w:rFonts w:hint="default" w:ascii="Times New Roman" w:hAnsi="Times New Roman" w:cs="Times New Roman"/>
                <w:highlight w:val="none"/>
              </w:rPr>
              <w:t xml:space="preserve">: </w:t>
            </w:r>
            <w:r>
              <w:rPr>
                <w:rFonts w:hint="default" w:ascii="Times New Roman" w:hAnsi="Times New Roman" w:cs="Times New Roman"/>
                <w:highlight w:val="none"/>
                <w:lang w:val="en-US" w:eastAsia="zh-CN"/>
              </w:rPr>
              <w:t>≤±</w:t>
            </w:r>
            <w:r>
              <w:rPr>
                <w:rFonts w:hint="default" w:ascii="Times New Roman" w:hAnsi="Times New Roman" w:cs="Times New Roman"/>
                <w:highlight w:val="none"/>
              </w:rPr>
              <w:t>1% @ measured value.</w:t>
            </w:r>
          </w:p>
        </w:tc>
      </w:tr>
      <w:tr w14:paraId="18DDF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503" w:type="pct"/>
            <w:vMerge w:val="continue"/>
            <w:vAlign w:val="center"/>
          </w:tcPr>
          <w:p w14:paraId="609206F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807" w:type="pct"/>
            <w:vMerge w:val="continue"/>
            <w:vAlign w:val="center"/>
          </w:tcPr>
          <w:p w14:paraId="27E5CE3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Merge w:val="continue"/>
            <w:vAlign w:val="center"/>
          </w:tcPr>
          <w:p w14:paraId="4C0827D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Align w:val="center"/>
          </w:tcPr>
          <w:p w14:paraId="0CD4A94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FF0000"/>
                <w:szCs w:val="21"/>
                <w:highlight w:val="none"/>
              </w:rPr>
            </w:pPr>
            <w:r>
              <w:rPr>
                <w:rFonts w:hint="default" w:ascii="Times New Roman" w:hAnsi="Times New Roman" w:eastAsia="宋体" w:cs="Times New Roman"/>
                <w:b/>
                <w:bCs w:val="0"/>
                <w:color w:val="FF0000"/>
                <w:szCs w:val="21"/>
                <w:highlight w:val="none"/>
              </w:rPr>
              <w:t>*3. Measuring Range: ≥±0.2 mT</w:t>
            </w:r>
          </w:p>
        </w:tc>
      </w:tr>
      <w:tr w14:paraId="36D8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503" w:type="pct"/>
            <w:vMerge w:val="continue"/>
            <w:vAlign w:val="center"/>
          </w:tcPr>
          <w:p w14:paraId="2981CFB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807" w:type="pct"/>
            <w:vMerge w:val="continue"/>
            <w:vAlign w:val="center"/>
          </w:tcPr>
          <w:p w14:paraId="0FDFA5A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Merge w:val="continue"/>
            <w:vAlign w:val="center"/>
          </w:tcPr>
          <w:p w14:paraId="2787118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Align w:val="center"/>
          </w:tcPr>
          <w:p w14:paraId="74A6953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FF0000"/>
                <w:szCs w:val="21"/>
                <w:highlight w:val="none"/>
              </w:rPr>
            </w:pPr>
            <w:r>
              <w:rPr>
                <w:rFonts w:hint="default" w:ascii="Times New Roman" w:hAnsi="Times New Roman" w:eastAsia="宋体" w:cs="Times New Roman"/>
                <w:b/>
                <w:bCs w:val="0"/>
                <w:color w:val="FF0000"/>
                <w:szCs w:val="21"/>
                <w:highlight w:val="none"/>
              </w:rPr>
              <w:t>*4. Operating Temperature: Covers the temperature range from liquid helium (2 K) to 293 K.</w:t>
            </w:r>
          </w:p>
        </w:tc>
      </w:tr>
      <w:tr w14:paraId="7322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503" w:type="pct"/>
            <w:vMerge w:val="continue"/>
            <w:vAlign w:val="center"/>
          </w:tcPr>
          <w:p w14:paraId="51307EC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807" w:type="pct"/>
            <w:vMerge w:val="continue"/>
            <w:vAlign w:val="center"/>
          </w:tcPr>
          <w:p w14:paraId="36EA8F3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1844" w:type="pct"/>
            <w:vMerge w:val="continue"/>
            <w:vAlign w:val="center"/>
          </w:tcPr>
          <w:p w14:paraId="0B18F26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1844" w:type="pct"/>
            <w:vAlign w:val="center"/>
          </w:tcPr>
          <w:p w14:paraId="2A09CC4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1"/>
                <w:highlight w:val="none"/>
              </w:rPr>
            </w:pPr>
            <w:r>
              <w:rPr>
                <w:rFonts w:hint="default" w:ascii="Times New Roman" w:hAnsi="Times New Roman" w:eastAsia="宋体" w:cs="Times New Roman"/>
                <w:bCs/>
                <w:szCs w:val="21"/>
                <w:highlight w:val="none"/>
              </w:rPr>
              <w:t>5. Scal</w:t>
            </w:r>
            <w:r>
              <w:rPr>
                <w:rFonts w:hint="eastAsia" w:ascii="Times New Roman" w:hAnsi="Times New Roman" w:eastAsia="宋体" w:cs="Times New Roman"/>
                <w:bCs/>
                <w:szCs w:val="21"/>
                <w:highlight w:val="none"/>
                <w:lang w:val="en-US" w:eastAsia="zh-CN"/>
              </w:rPr>
              <w:t>ing</w:t>
            </w:r>
            <w:r>
              <w:rPr>
                <w:rFonts w:hint="default" w:ascii="Times New Roman" w:hAnsi="Times New Roman" w:eastAsia="宋体" w:cs="Times New Roman"/>
                <w:bCs/>
                <w:szCs w:val="21"/>
                <w:highlight w:val="none"/>
              </w:rPr>
              <w:t xml:space="preserve"> Temperature Coefficient: ≤±10ppm/℃</w:t>
            </w:r>
          </w:p>
        </w:tc>
      </w:tr>
      <w:tr w14:paraId="2140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503" w:type="pct"/>
            <w:vMerge w:val="continue"/>
            <w:vAlign w:val="center"/>
          </w:tcPr>
          <w:p w14:paraId="7844F11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807" w:type="pct"/>
            <w:vMerge w:val="continue"/>
            <w:vAlign w:val="center"/>
          </w:tcPr>
          <w:p w14:paraId="179F327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1844" w:type="pct"/>
            <w:vMerge w:val="continue"/>
            <w:vAlign w:val="center"/>
          </w:tcPr>
          <w:p w14:paraId="3BC35C6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1844" w:type="pct"/>
            <w:vAlign w:val="center"/>
          </w:tcPr>
          <w:p w14:paraId="092391B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FF0000"/>
                <w:szCs w:val="21"/>
                <w:highlight w:val="none"/>
              </w:rPr>
            </w:pPr>
            <w:r>
              <w:rPr>
                <w:rFonts w:hint="default" w:ascii="Times New Roman" w:hAnsi="Times New Roman" w:eastAsia="宋体" w:cs="Times New Roman"/>
                <w:b/>
                <w:bCs w:val="0"/>
                <w:color w:val="FF0000"/>
                <w:szCs w:val="21"/>
                <w:highlight w:val="none"/>
              </w:rPr>
              <w:t>*6. Linearity: ≤0.01%</w:t>
            </w:r>
          </w:p>
        </w:tc>
      </w:tr>
      <w:tr w14:paraId="4B05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503" w:type="pct"/>
            <w:vMerge w:val="continue"/>
            <w:vAlign w:val="center"/>
          </w:tcPr>
          <w:p w14:paraId="3FA246A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807" w:type="pct"/>
            <w:vMerge w:val="continue"/>
            <w:vAlign w:val="center"/>
          </w:tcPr>
          <w:p w14:paraId="47662B6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1844" w:type="pct"/>
            <w:vMerge w:val="continue"/>
            <w:vAlign w:val="center"/>
          </w:tcPr>
          <w:p w14:paraId="603C619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bCs/>
                <w:szCs w:val="21"/>
                <w:highlight w:val="none"/>
              </w:rPr>
            </w:pPr>
          </w:p>
        </w:tc>
        <w:tc>
          <w:tcPr>
            <w:tcW w:w="1844" w:type="pct"/>
            <w:vAlign w:val="center"/>
          </w:tcPr>
          <w:p w14:paraId="648644F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FF0000"/>
                <w:szCs w:val="21"/>
                <w:highlight w:val="none"/>
              </w:rPr>
            </w:pPr>
            <w:r>
              <w:rPr>
                <w:rFonts w:hint="default" w:ascii="Times New Roman" w:hAnsi="Times New Roman" w:eastAsia="宋体" w:cs="Times New Roman"/>
                <w:b/>
                <w:bCs w:val="0"/>
                <w:color w:val="FF0000"/>
                <w:szCs w:val="21"/>
                <w:highlight w:val="none"/>
              </w:rPr>
              <w:t>*7. Cable Length: The length of low-temperature fine wire (2 K temperature resistant) ≥ 5 m</w:t>
            </w:r>
          </w:p>
        </w:tc>
      </w:tr>
      <w:tr w14:paraId="2653E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3" w:type="pct"/>
            <w:vMerge w:val="continue"/>
            <w:vAlign w:val="center"/>
          </w:tcPr>
          <w:p w14:paraId="51E982C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807" w:type="pct"/>
            <w:vMerge w:val="continue"/>
            <w:vAlign w:val="center"/>
          </w:tcPr>
          <w:p w14:paraId="060BF94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Merge w:val="continue"/>
            <w:vAlign w:val="center"/>
          </w:tcPr>
          <w:p w14:paraId="50BF6AC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highlight w:val="none"/>
              </w:rPr>
            </w:pPr>
          </w:p>
        </w:tc>
        <w:tc>
          <w:tcPr>
            <w:tcW w:w="1844" w:type="pct"/>
            <w:vAlign w:val="center"/>
          </w:tcPr>
          <w:p w14:paraId="168BFD72">
            <w:pPr>
              <w:keepNext w:val="0"/>
              <w:keepLines w:val="0"/>
              <w:widowControl/>
              <w:suppressLineNumbers w:val="0"/>
              <w:spacing w:before="0" w:beforeAutospacing="0" w:after="0" w:afterAutospacing="0" w:line="240" w:lineRule="auto"/>
              <w:ind w:left="0" w:right="0"/>
              <w:jc w:val="both"/>
              <w:rPr>
                <w:rFonts w:hint="default" w:eastAsia="宋体"/>
                <w:lang w:val="en-US" w:eastAsia="zh-CN"/>
              </w:rPr>
            </w:pPr>
            <w:r>
              <w:rPr>
                <w:rFonts w:hint="default" w:ascii="Times New Roman" w:hAnsi="Times New Roman" w:eastAsia="宋体" w:cs="Times New Roman"/>
                <w:bCs/>
                <w:szCs w:val="21"/>
                <w:highlight w:val="none"/>
              </w:rPr>
              <w:t xml:space="preserve">8. Offset </w:t>
            </w:r>
            <w:r>
              <w:rPr>
                <w:rFonts w:hint="eastAsia" w:ascii="Times New Roman" w:hAnsi="Times New Roman" w:eastAsia="宋体" w:cs="Times New Roman"/>
                <w:bCs/>
                <w:szCs w:val="21"/>
                <w:highlight w:val="none"/>
                <w:lang w:val="en-US" w:eastAsia="zh-CN"/>
              </w:rPr>
              <w:t>in zero field</w:t>
            </w:r>
          </w:p>
          <w:p w14:paraId="7E55BA3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eastAsia="宋体" w:cs="Times New Roman"/>
                <w:bCs/>
                <w:szCs w:val="21"/>
                <w:highlight w:val="none"/>
              </w:rPr>
            </w:pPr>
            <w:r>
              <w:rPr>
                <w:rFonts w:hint="default" w:ascii="Times New Roman" w:hAnsi="Times New Roman" w:eastAsia="宋体" w:cs="Times New Roman"/>
                <w:bCs/>
                <w:szCs w:val="21"/>
                <w:highlight w:val="none"/>
              </w:rPr>
              <w:t>: ≤±5 nT</w:t>
            </w:r>
          </w:p>
        </w:tc>
      </w:tr>
    </w:tbl>
    <w:p w14:paraId="3EE4F0C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highlight w:val="none"/>
        </w:rPr>
      </w:pPr>
      <w:r>
        <w:rPr>
          <w:rFonts w:ascii="Times New Roman" w:hAnsi="Times New Roman" w:cs="Times New Roman"/>
          <w:highlight w:val="none"/>
        </w:rPr>
        <w:t xml:space="preserve">Note: If the technical parameters of this project have the parameter requirements of the interval range, the response value or interval including or covering the interval range is in line with the </w:t>
      </w:r>
      <w:bookmarkStart w:id="27" w:name="_GoBack"/>
      <w:bookmarkEnd w:id="27"/>
      <w:r>
        <w:rPr>
          <w:rFonts w:ascii="Times New Roman" w:hAnsi="Times New Roman" w:cs="Times New Roman"/>
          <w:highlight w:val="none"/>
        </w:rPr>
        <w:t>requirements of the tender document. A response value or interval that does not fully include or cover the range is considered a negative deviation. (For example, the technical parameters of a certain cargo require “superficial probe: Frequency range 5.0-13.0Mhz”. If the frequency range response is 4.0-14.0MHz or 5.0- 15.0MHz or 3.0-13.0MHz, it is considered as meeting the requirements; If the responses are 6.0-12.0MHz, 1.0-12.0MHz, 7.0-15.0MHz and 10.0MHz, they are all negative deviations.)</w:t>
      </w:r>
    </w:p>
    <w:p w14:paraId="36916B91">
      <w:pPr>
        <w:keepNext w:val="0"/>
        <w:keepLines w:val="0"/>
        <w:pageBreakBefore w:val="0"/>
        <w:kinsoku/>
        <w:wordWrap/>
        <w:overflowPunct/>
        <w:topLinePunct w:val="0"/>
        <w:bidi w:val="0"/>
        <w:snapToGrid/>
        <w:spacing w:beforeAutospacing="0" w:afterAutospacing="0" w:line="240" w:lineRule="auto"/>
        <w:jc w:val="both"/>
        <w:textAlignment w:val="auto"/>
        <w:rPr>
          <w:rFonts w:hint="default" w:ascii="Times New Roman" w:hAnsi="Times New Roman" w:eastAsia="宋体" w:cs="Times New Roman"/>
          <w:sz w:val="21"/>
          <w:szCs w:val="21"/>
          <w:highlight w:val="none"/>
        </w:rPr>
      </w:pPr>
      <w:bookmarkStart w:id="26" w:name="OLE_LINK3"/>
      <w:r>
        <w:rPr>
          <w:rFonts w:hint="default" w:ascii="Times New Roman" w:hAnsi="Times New Roman" w:eastAsia="宋体" w:cs="Times New Roman"/>
          <w:sz w:val="21"/>
          <w:szCs w:val="21"/>
          <w:highlight w:val="none"/>
        </w:rPr>
        <w:t>Parameters marked with an asterisk ("*") are important technical parameters, while the rest are general parameters. Any non-compliance or negative deviation from the important parameters shall render the bid invalid. Where the technical parameters require the bidder to submit relevant documents, failure to provide such documents or inconsistency between the submitted documents and the bidder’s response shall be deemed as a negative deviation.</w:t>
      </w:r>
    </w:p>
    <w:p w14:paraId="07F54004">
      <w:pPr>
        <w:keepNext w:val="0"/>
        <w:keepLines w:val="0"/>
        <w:pageBreakBefore w:val="0"/>
        <w:kinsoku/>
        <w:wordWrap/>
        <w:overflowPunct/>
        <w:topLinePunct w:val="0"/>
        <w:bidi w:val="0"/>
        <w:snapToGrid/>
        <w:spacing w:beforeAutospacing="0" w:afterAutospacing="0" w:line="240" w:lineRule="auto"/>
        <w:jc w:val="both"/>
        <w:textAlignment w:val="auto"/>
        <w:rPr>
          <w:rFonts w:hint="default" w:ascii="Times New Roman" w:hAnsi="Times New Roman" w:eastAsia="宋体" w:cs="Times New Roman"/>
          <w:sz w:val="21"/>
          <w:szCs w:val="21"/>
          <w:highlight w:val="none"/>
        </w:rPr>
      </w:pPr>
    </w:p>
    <w:p w14:paraId="46217576">
      <w:pPr>
        <w:keepNext w:val="0"/>
        <w:keepLines w:val="0"/>
        <w:pageBreakBefore w:val="0"/>
        <w:kinsoku/>
        <w:wordWrap/>
        <w:overflowPunct/>
        <w:topLinePunct w:val="0"/>
        <w:bidi w:val="0"/>
        <w:snapToGrid/>
        <w:spacing w:beforeAutospacing="0" w:afterAutospacing="0" w:line="240" w:lineRule="auto"/>
        <w:jc w:val="both"/>
        <w:textAlignment w:val="auto"/>
        <w:rPr>
          <w:rFonts w:hint="default" w:ascii="Times New Roman" w:hAnsi="Times New Roman" w:eastAsia="宋体" w:cs="Times New Roman"/>
          <w:sz w:val="21"/>
          <w:szCs w:val="21"/>
          <w:highlight w:val="none"/>
        </w:rPr>
      </w:pPr>
    </w:p>
    <w:p w14:paraId="7E691EF2">
      <w:pPr>
        <w:spacing w:before="120" w:after="120" w:line="300" w:lineRule="auto"/>
        <w:ind w:firstLine="422" w:firstLineChars="200"/>
        <w:outlineLvl w:val="2"/>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III. Commercial Terms And Requirements</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2417"/>
        <w:gridCol w:w="5244"/>
      </w:tblGrid>
      <w:tr w14:paraId="3B023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503" w:type="pct"/>
            <w:noWrap w:val="0"/>
            <w:vAlign w:val="center"/>
          </w:tcPr>
          <w:p w14:paraId="23E3BE40">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color w:val="000000"/>
                <w:sz w:val="21"/>
                <w:szCs w:val="21"/>
                <w:highlight w:val="none"/>
              </w:rPr>
            </w:pPr>
            <w:r>
              <w:rPr>
                <w:rFonts w:hint="default" w:ascii="Times New Roman" w:hAnsi="Times New Roman" w:cs="Times New Roman"/>
                <w:sz w:val="21"/>
                <w:szCs w:val="21"/>
                <w:highlight w:val="none"/>
              </w:rPr>
              <w:t>Serial number</w:t>
            </w:r>
          </w:p>
        </w:tc>
        <w:tc>
          <w:tcPr>
            <w:tcW w:w="1418" w:type="pct"/>
            <w:noWrap w:val="0"/>
            <w:vAlign w:val="center"/>
          </w:tcPr>
          <w:p w14:paraId="4B05AAD3">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color w:val="000000"/>
                <w:sz w:val="21"/>
                <w:szCs w:val="21"/>
                <w:highlight w:val="none"/>
              </w:rPr>
            </w:pPr>
            <w:r>
              <w:rPr>
                <w:rFonts w:hint="default" w:ascii="Times New Roman" w:hAnsi="Times New Roman" w:eastAsia="宋体" w:cs="Times New Roman"/>
                <w:sz w:val="21"/>
                <w:szCs w:val="21"/>
                <w:highlight w:val="none"/>
              </w:rPr>
              <w:t>Table of contents</w:t>
            </w:r>
          </w:p>
        </w:tc>
        <w:tc>
          <w:tcPr>
            <w:tcW w:w="3077" w:type="pct"/>
            <w:noWrap w:val="0"/>
            <w:vAlign w:val="center"/>
          </w:tcPr>
          <w:p w14:paraId="5C567F6C">
            <w:pPr>
              <w:keepNext w:val="0"/>
              <w:keepLines w:val="0"/>
              <w:widowControl/>
              <w:suppressLineNumbers w:val="0"/>
              <w:spacing w:before="0" w:beforeAutospacing="0" w:after="0" w:afterAutospacing="0" w:line="440" w:lineRule="exact"/>
              <w:ind w:left="0" w:right="0" w:firstLine="420" w:firstLineChars="200"/>
              <w:jc w:val="center"/>
              <w:rPr>
                <w:rFonts w:hint="default" w:ascii="Times New Roman" w:hAnsi="Times New Roman" w:eastAsia="宋体" w:cs="Times New Roman"/>
                <w:snapToGrid w:val="0"/>
                <w:color w:val="000000"/>
                <w:spacing w:val="-2"/>
                <w:kern w:val="0"/>
                <w:sz w:val="21"/>
                <w:szCs w:val="21"/>
                <w:highlight w:val="none"/>
                <w:lang w:eastAsia="en-US"/>
              </w:rPr>
            </w:pPr>
            <w:r>
              <w:rPr>
                <w:rFonts w:hint="default" w:ascii="Times New Roman" w:hAnsi="Times New Roman" w:cs="Times New Roman"/>
                <w:snapToGrid w:val="0"/>
                <w:sz w:val="21"/>
                <w:szCs w:val="21"/>
                <w:highlight w:val="none"/>
              </w:rPr>
              <w:t>Commercial terms of tender document</w:t>
            </w:r>
          </w:p>
        </w:tc>
      </w:tr>
      <w:tr w14:paraId="2375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503" w:type="pct"/>
            <w:vMerge w:val="restart"/>
            <w:noWrap w:val="0"/>
            <w:vAlign w:val="center"/>
          </w:tcPr>
          <w:p w14:paraId="43B51771">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000000"/>
                <w:sz w:val="21"/>
                <w:szCs w:val="21"/>
                <w:highlight w:val="none"/>
              </w:rPr>
            </w:pPr>
            <w:r>
              <w:rPr>
                <w:rFonts w:hint="default" w:ascii="Times New Roman" w:hAnsi="Times New Roman" w:eastAsia="宋体" w:cs="Times New Roman"/>
                <w:b w:val="0"/>
                <w:bCs w:val="0"/>
                <w:color w:val="000000"/>
                <w:sz w:val="21"/>
                <w:szCs w:val="21"/>
                <w:highlight w:val="none"/>
              </w:rPr>
              <w:t>1</w:t>
            </w:r>
          </w:p>
        </w:tc>
        <w:tc>
          <w:tcPr>
            <w:tcW w:w="1418" w:type="pct"/>
            <w:vMerge w:val="restart"/>
            <w:noWrap w:val="0"/>
            <w:vAlign w:val="center"/>
          </w:tcPr>
          <w:p w14:paraId="34C9D55E">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sz w:val="21"/>
                <w:szCs w:val="21"/>
                <w:highlight w:val="none"/>
              </w:rPr>
            </w:pPr>
            <w:r>
              <w:rPr>
                <w:rFonts w:hint="default" w:ascii="Times New Roman" w:hAnsi="Times New Roman" w:eastAsia="宋体" w:cs="Times New Roman"/>
                <w:b/>
                <w:bCs/>
                <w:color w:val="FF0000"/>
                <w:sz w:val="21"/>
                <w:szCs w:val="21"/>
                <w:highlight w:val="none"/>
              </w:rPr>
              <w:t>*Delivery Requirements</w:t>
            </w:r>
          </w:p>
        </w:tc>
        <w:tc>
          <w:tcPr>
            <w:tcW w:w="3077" w:type="pct"/>
            <w:noWrap w:val="0"/>
            <w:vAlign w:val="top"/>
          </w:tcPr>
          <w:p w14:paraId="58136098">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sz w:val="21"/>
                <w:szCs w:val="21"/>
                <w:highlight w:val="none"/>
              </w:rPr>
            </w:pPr>
            <w:r>
              <w:rPr>
                <w:rFonts w:hint="default" w:ascii="Times New Roman" w:hAnsi="Times New Roman" w:eastAsia="宋体" w:cs="Times New Roman"/>
                <w:b/>
                <w:bCs/>
                <w:color w:val="FF0000"/>
                <w:sz w:val="21"/>
                <w:szCs w:val="21"/>
                <w:highlight w:val="none"/>
              </w:rPr>
              <w:t>1.1 Delivery time requirement: Within 540 calendar days</w:t>
            </w:r>
            <w:r>
              <w:rPr>
                <w:rFonts w:hint="default" w:ascii="Times New Roman" w:hAnsi="Times New Roman" w:eastAsia="宋体" w:cs="Times New Roman"/>
                <w:b/>
                <w:bCs/>
                <w:color w:val="FF0000"/>
                <w:sz w:val="21"/>
                <w:szCs w:val="21"/>
                <w:highlight w:val="none"/>
                <w:lang w:val="en-US" w:eastAsia="zh-CN"/>
              </w:rPr>
              <w:t xml:space="preserve"> </w:t>
            </w:r>
            <w:r>
              <w:rPr>
                <w:rFonts w:hint="default" w:ascii="Times New Roman" w:hAnsi="Times New Roman" w:cs="Times New Roman"/>
                <w:b/>
                <w:bCs/>
                <w:color w:val="FF0000"/>
                <w:highlight w:val="none"/>
              </w:rPr>
              <w:t>(calendar days)</w:t>
            </w:r>
            <w:r>
              <w:rPr>
                <w:rFonts w:hint="default" w:ascii="Times New Roman" w:hAnsi="Times New Roman" w:eastAsia="宋体" w:cs="Times New Roman"/>
                <w:b/>
                <w:bCs/>
                <w:color w:val="FF0000"/>
                <w:sz w:val="21"/>
                <w:szCs w:val="21"/>
                <w:highlight w:val="none"/>
                <w:lang w:val="en-US" w:eastAsia="zh-CN"/>
              </w:rPr>
              <w:t xml:space="preserve"> </w:t>
            </w:r>
            <w:r>
              <w:rPr>
                <w:rFonts w:hint="default" w:ascii="Times New Roman" w:hAnsi="Times New Roman" w:eastAsia="宋体" w:cs="Times New Roman"/>
                <w:b/>
                <w:bCs/>
                <w:color w:val="FF0000"/>
                <w:sz w:val="21"/>
                <w:szCs w:val="21"/>
                <w:highlight w:val="none"/>
              </w:rPr>
              <w:t xml:space="preserve"> after the signing of the contract.</w:t>
            </w:r>
          </w:p>
        </w:tc>
      </w:tr>
      <w:tr w14:paraId="1F11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03" w:type="pct"/>
            <w:vMerge w:val="continue"/>
            <w:noWrap w:val="0"/>
            <w:vAlign w:val="center"/>
          </w:tcPr>
          <w:p w14:paraId="076D566C">
            <w:pPr>
              <w:keepNext w:val="0"/>
              <w:keepLines w:val="0"/>
              <w:widowControl/>
              <w:suppressLineNumbers w:val="0"/>
              <w:spacing w:before="0" w:beforeAutospacing="0" w:after="0" w:afterAutospacing="0" w:line="440" w:lineRule="exact"/>
              <w:ind w:left="0" w:right="0" w:firstLine="420" w:firstLineChars="200"/>
              <w:jc w:val="both"/>
              <w:rPr>
                <w:rFonts w:hint="default" w:ascii="Times New Roman" w:hAnsi="Times New Roman" w:eastAsia="宋体" w:cs="Times New Roman"/>
                <w:b w:val="0"/>
                <w:bCs w:val="0"/>
                <w:color w:val="000000"/>
                <w:sz w:val="21"/>
                <w:szCs w:val="21"/>
                <w:highlight w:val="none"/>
              </w:rPr>
            </w:pPr>
          </w:p>
        </w:tc>
        <w:tc>
          <w:tcPr>
            <w:tcW w:w="1418" w:type="pct"/>
            <w:vMerge w:val="continue"/>
            <w:noWrap w:val="0"/>
            <w:vAlign w:val="center"/>
          </w:tcPr>
          <w:p w14:paraId="678D6BD4">
            <w:pPr>
              <w:keepNext w:val="0"/>
              <w:keepLines w:val="0"/>
              <w:widowControl/>
              <w:suppressLineNumbers w:val="0"/>
              <w:spacing w:before="0" w:beforeAutospacing="0" w:after="0" w:afterAutospacing="0" w:line="440" w:lineRule="exact"/>
              <w:ind w:left="0" w:right="0" w:firstLine="422" w:firstLineChars="200"/>
              <w:jc w:val="both"/>
              <w:rPr>
                <w:rFonts w:hint="default" w:ascii="Times New Roman" w:hAnsi="Times New Roman" w:eastAsia="宋体" w:cs="Times New Roman"/>
                <w:b/>
                <w:bCs/>
                <w:color w:val="FF0000"/>
                <w:sz w:val="21"/>
                <w:szCs w:val="21"/>
                <w:highlight w:val="none"/>
              </w:rPr>
            </w:pPr>
          </w:p>
        </w:tc>
        <w:tc>
          <w:tcPr>
            <w:tcW w:w="3077" w:type="pct"/>
            <w:noWrap w:val="0"/>
            <w:vAlign w:val="top"/>
          </w:tcPr>
          <w:p w14:paraId="144F4B9D">
            <w:pPr>
              <w:keepNext w:val="0"/>
              <w:keepLines w:val="0"/>
              <w:widowControl/>
              <w:suppressLineNumbers w:val="0"/>
              <w:spacing w:before="0" w:beforeAutospacing="0" w:after="0" w:afterAutospacing="0" w:line="240" w:lineRule="auto"/>
              <w:ind w:left="0" w:right="0" w:firstLine="0" w:firstLineChars="0"/>
              <w:jc w:val="both"/>
              <w:rPr>
                <w:rFonts w:hint="default" w:ascii="Times New Roman" w:hAnsi="Times New Roman" w:eastAsia="宋体" w:cs="Times New Roman"/>
                <w:b/>
                <w:bCs/>
                <w:color w:val="FF0000"/>
                <w:sz w:val="21"/>
                <w:szCs w:val="21"/>
                <w:highlight w:val="none"/>
              </w:rPr>
            </w:pPr>
            <w:r>
              <w:rPr>
                <w:rFonts w:hint="default" w:ascii="Times New Roman" w:hAnsi="Times New Roman" w:eastAsia="宋体" w:cs="Times New Roman"/>
                <w:b/>
                <w:bCs/>
                <w:color w:val="FF0000"/>
                <w:sz w:val="21"/>
                <w:szCs w:val="21"/>
                <w:highlight w:val="none"/>
              </w:rPr>
              <w:t xml:space="preserve">1.2 </w:t>
            </w:r>
            <w:r>
              <w:rPr>
                <w:rFonts w:hint="default" w:ascii="Times New Roman" w:hAnsi="Times New Roman" w:cs="Times New Roman"/>
                <w:b/>
                <w:bCs/>
                <w:color w:val="FF0000"/>
                <w:highlight w:val="none"/>
              </w:rPr>
              <w:t>Obligations that the Bidder is required to assume, includ</w:t>
            </w:r>
            <w:r>
              <w:rPr>
                <w:rFonts w:hint="default" w:ascii="Times New Roman" w:hAnsi="Times New Roman" w:cs="Times New Roman"/>
                <w:b/>
                <w:bCs/>
                <w:color w:val="FF0000"/>
                <w:highlight w:val="none"/>
                <w:lang w:val="en-US" w:eastAsia="zh-CN"/>
              </w:rPr>
              <w:t>e</w:t>
            </w:r>
            <w:r>
              <w:rPr>
                <w:rFonts w:hint="default" w:ascii="Times New Roman" w:hAnsi="Times New Roman" w:cs="Times New Roman"/>
                <w:b/>
                <w:bCs/>
                <w:color w:val="FF0000"/>
                <w:highlight w:val="none"/>
              </w:rPr>
              <w:t xml:space="preserve"> the transportation, installation and commissioning, acceptance inspection of the equipment, and the provision of equipment operation manuals, drawings, and other similar obligations.</w:t>
            </w:r>
          </w:p>
        </w:tc>
      </w:tr>
      <w:tr w14:paraId="3D5C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503" w:type="pct"/>
            <w:noWrap w:val="0"/>
            <w:vAlign w:val="center"/>
          </w:tcPr>
          <w:p w14:paraId="38FB4029">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val="0"/>
                <w:bCs w:val="0"/>
                <w:color w:val="000000"/>
                <w:sz w:val="21"/>
                <w:szCs w:val="21"/>
                <w:highlight w:val="none"/>
                <w:lang w:val="en-US" w:eastAsia="zh-CN"/>
              </w:rPr>
            </w:pPr>
            <w:r>
              <w:rPr>
                <w:rFonts w:hint="default" w:ascii="Times New Roman" w:hAnsi="Times New Roman" w:eastAsia="宋体" w:cs="Times New Roman"/>
                <w:b w:val="0"/>
                <w:bCs w:val="0"/>
                <w:color w:val="000000"/>
                <w:sz w:val="21"/>
                <w:szCs w:val="21"/>
                <w:highlight w:val="none"/>
                <w:lang w:val="en-US" w:eastAsia="zh-CN"/>
              </w:rPr>
              <w:t>2</w:t>
            </w:r>
          </w:p>
        </w:tc>
        <w:tc>
          <w:tcPr>
            <w:tcW w:w="1418" w:type="pct"/>
            <w:noWrap w:val="0"/>
            <w:vAlign w:val="center"/>
          </w:tcPr>
          <w:p w14:paraId="15EECE0E">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sz w:val="21"/>
                <w:szCs w:val="21"/>
                <w:highlight w:val="none"/>
              </w:rPr>
              <w:t>Performance bond payment</w:t>
            </w:r>
          </w:p>
        </w:tc>
        <w:tc>
          <w:tcPr>
            <w:tcW w:w="3077" w:type="pct"/>
            <w:noWrap w:val="0"/>
            <w:vAlign w:val="top"/>
          </w:tcPr>
          <w:p w14:paraId="4309CC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 Paid at a fixed amount (  yuan)</w:t>
            </w:r>
          </w:p>
          <w:p w14:paraId="6A61D7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 Paid as a percentage of the contract amount ( %)</w:t>
            </w:r>
          </w:p>
          <w:p w14:paraId="6A90CC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 No payment required</w:t>
            </w:r>
          </w:p>
          <w:p w14:paraId="0C0ECD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Performance bond payment method: □ Cheque □ Letter of guarantee □ Bank transfer □ Bill of exchange □ Promissory note □ Other non-cash methods</w:t>
            </w:r>
          </w:p>
        </w:tc>
      </w:tr>
      <w:tr w14:paraId="613C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503" w:type="pct"/>
            <w:vMerge w:val="restart"/>
            <w:noWrap w:val="0"/>
            <w:vAlign w:val="center"/>
          </w:tcPr>
          <w:p w14:paraId="6F4C9307">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3</w:t>
            </w:r>
          </w:p>
        </w:tc>
        <w:tc>
          <w:tcPr>
            <w:tcW w:w="1418" w:type="pct"/>
            <w:vMerge w:val="restart"/>
            <w:noWrap w:val="0"/>
            <w:vAlign w:val="center"/>
          </w:tcPr>
          <w:p w14:paraId="11F27F3B">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GB"/>
              </w:rPr>
            </w:pPr>
            <w:r>
              <w:rPr>
                <w:rFonts w:hint="default" w:ascii="Times New Roman" w:hAnsi="Times New Roman" w:eastAsia="宋体" w:cs="Times New Roman"/>
                <w:sz w:val="21"/>
                <w:szCs w:val="21"/>
                <w:highlight w:val="none"/>
              </w:rPr>
              <w:t>After-sales service requirements</w:t>
            </w:r>
          </w:p>
        </w:tc>
        <w:tc>
          <w:tcPr>
            <w:tcW w:w="3077" w:type="pct"/>
            <w:noWrap w:val="0"/>
            <w:vAlign w:val="top"/>
          </w:tcPr>
          <w:p w14:paraId="4AB1338E">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GB"/>
              </w:rPr>
            </w:pPr>
            <w:r>
              <w:rPr>
                <w:rFonts w:hint="default" w:ascii="Times New Roman" w:hAnsi="Times New Roman" w:eastAsia="宋体" w:cs="Times New Roman"/>
                <w:b/>
                <w:bCs/>
                <w:color w:val="FF0000"/>
                <w:sz w:val="21"/>
                <w:szCs w:val="21"/>
                <w:highlight w:val="none"/>
              </w:rPr>
              <w:t xml:space="preserve">*3.1 The free warranty period of the goods is not less than 1 year, and the time is calculated from the date of final acceptance and delivery. In the event of any quality issue during the warranty period, the </w:t>
            </w:r>
            <w:r>
              <w:rPr>
                <w:rFonts w:hint="default" w:ascii="Times New Roman" w:hAnsi="Times New Roman" w:eastAsia="宋体" w:cs="Times New Roman"/>
                <w:b/>
                <w:bCs/>
                <w:color w:val="FF0000"/>
                <w:sz w:val="21"/>
                <w:szCs w:val="21"/>
                <w:highlight w:val="none"/>
                <w:lang w:val="en-US" w:eastAsia="zh-CN"/>
              </w:rPr>
              <w:t>bidd</w:t>
            </w:r>
            <w:r>
              <w:rPr>
                <w:rFonts w:hint="default" w:ascii="Times New Roman" w:hAnsi="Times New Roman" w:eastAsia="宋体" w:cs="Times New Roman"/>
                <w:b/>
                <w:bCs/>
                <w:color w:val="FF0000"/>
                <w:sz w:val="21"/>
                <w:szCs w:val="21"/>
                <w:highlight w:val="none"/>
              </w:rPr>
              <w:t>er guarantees to arrive at the site within 24 hours of receiving notification to perform repairs or replacements.</w:t>
            </w:r>
          </w:p>
        </w:tc>
      </w:tr>
      <w:tr w14:paraId="2651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503" w:type="pct"/>
            <w:vMerge w:val="continue"/>
            <w:noWrap w:val="0"/>
            <w:vAlign w:val="center"/>
          </w:tcPr>
          <w:p w14:paraId="55AE9182">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GB"/>
              </w:rPr>
            </w:pPr>
          </w:p>
        </w:tc>
        <w:tc>
          <w:tcPr>
            <w:tcW w:w="1418" w:type="pct"/>
            <w:vMerge w:val="continue"/>
            <w:noWrap w:val="0"/>
            <w:vAlign w:val="center"/>
          </w:tcPr>
          <w:p w14:paraId="61BBC99B">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GB"/>
              </w:rPr>
            </w:pPr>
          </w:p>
        </w:tc>
        <w:tc>
          <w:tcPr>
            <w:tcW w:w="3077" w:type="pct"/>
            <w:noWrap w:val="0"/>
            <w:vAlign w:val="top"/>
          </w:tcPr>
          <w:p w14:paraId="4FC5C8EB">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GB"/>
              </w:rPr>
            </w:pPr>
            <w:r>
              <w:rPr>
                <w:rFonts w:hint="default" w:ascii="Times New Roman" w:hAnsi="Times New Roman" w:eastAsia="宋体" w:cs="Times New Roman"/>
                <w:sz w:val="21"/>
                <w:szCs w:val="21"/>
                <w:highlight w:val="none"/>
              </w:rPr>
              <w:t>3.2 The bidder shall carry out other after-sales service work in accordance with the commitments in its bidding documents. (Content of and requirements for after-sales service, proposed solutions for handling issues, warranty periods, as well as requirements for maintenance, technical training services, etc.)</w:t>
            </w:r>
          </w:p>
        </w:tc>
      </w:tr>
      <w:tr w14:paraId="0EE6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503" w:type="pct"/>
            <w:vMerge w:val="continue"/>
            <w:noWrap w:val="0"/>
            <w:vAlign w:val="center"/>
          </w:tcPr>
          <w:p w14:paraId="7A37E2CA">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GB"/>
              </w:rPr>
            </w:pPr>
          </w:p>
        </w:tc>
        <w:tc>
          <w:tcPr>
            <w:tcW w:w="1418" w:type="pct"/>
            <w:vMerge w:val="continue"/>
            <w:noWrap w:val="0"/>
            <w:vAlign w:val="center"/>
          </w:tcPr>
          <w:p w14:paraId="1B76845C">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GB"/>
              </w:rPr>
            </w:pPr>
          </w:p>
        </w:tc>
        <w:tc>
          <w:tcPr>
            <w:tcW w:w="3077" w:type="pct"/>
            <w:noWrap w:val="0"/>
            <w:vAlign w:val="top"/>
          </w:tcPr>
          <w:p w14:paraId="6679088B">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bCs/>
                <w:color w:val="FF0000"/>
                <w:sz w:val="21"/>
                <w:szCs w:val="21"/>
                <w:highlight w:val="none"/>
              </w:rPr>
              <w:t xml:space="preserve">*3.3 </w:t>
            </w:r>
            <w:r>
              <w:rPr>
                <w:rFonts w:hint="default" w:ascii="Times New Roman" w:hAnsi="Times New Roman" w:eastAsia="宋体" w:cs="Times New Roman"/>
                <w:b/>
                <w:bCs/>
                <w:color w:val="FF0000"/>
                <w:sz w:val="21"/>
                <w:szCs w:val="21"/>
                <w:highlight w:val="none"/>
                <w:lang w:val="en-US" w:eastAsia="zh-CN"/>
              </w:rPr>
              <w:t>T</w:t>
            </w:r>
            <w:r>
              <w:rPr>
                <w:rFonts w:hint="default" w:ascii="Times New Roman" w:hAnsi="Times New Roman" w:eastAsia="宋体" w:cs="Times New Roman"/>
                <w:b/>
                <w:bCs/>
                <w:color w:val="FF0000"/>
                <w:sz w:val="21"/>
                <w:szCs w:val="21"/>
                <w:highlight w:val="none"/>
              </w:rPr>
              <w:t>aking into account the Purchaser</w:t>
            </w:r>
            <w:r>
              <w:rPr>
                <w:rFonts w:hint="default" w:ascii="Times New Roman" w:hAnsi="Times New Roman" w:eastAsia="宋体" w:cs="Times New Roman"/>
                <w:b/>
                <w:bCs/>
                <w:color w:val="FF0000"/>
                <w:sz w:val="21"/>
                <w:szCs w:val="21"/>
                <w:highlight w:val="none"/>
                <w:lang w:val="en-US" w:eastAsia="zh-CN"/>
              </w:rPr>
              <w:t>'</w:t>
            </w:r>
            <w:r>
              <w:rPr>
                <w:rFonts w:hint="default" w:ascii="Times New Roman" w:hAnsi="Times New Roman" w:eastAsia="宋体" w:cs="Times New Roman"/>
                <w:b/>
                <w:bCs/>
                <w:color w:val="FF0000"/>
                <w:sz w:val="21"/>
                <w:szCs w:val="21"/>
                <w:highlight w:val="none"/>
              </w:rPr>
              <w:t>s specific circumstances, the Seller agrees to provide relocation services for the purchased instruments for one to two times. All costs arising therefrom</w:t>
            </w:r>
            <w:r>
              <w:rPr>
                <w:rFonts w:hint="default" w:ascii="Times New Roman" w:hAnsi="Times New Roman" w:eastAsia="宋体" w:cs="Times New Roman"/>
                <w:b/>
                <w:bCs/>
                <w:color w:val="FF0000"/>
                <w:sz w:val="21"/>
                <w:szCs w:val="21"/>
                <w:highlight w:val="none"/>
                <w:lang w:val="en-US" w:eastAsia="zh-CN"/>
              </w:rPr>
              <w:t xml:space="preserve">, </w:t>
            </w:r>
            <w:r>
              <w:rPr>
                <w:rFonts w:hint="default" w:ascii="Times New Roman" w:hAnsi="Times New Roman" w:eastAsia="宋体" w:cs="Times New Roman"/>
                <w:b/>
                <w:bCs/>
                <w:color w:val="FF0000"/>
                <w:sz w:val="21"/>
                <w:szCs w:val="21"/>
                <w:highlight w:val="none"/>
              </w:rPr>
              <w:t>including the dismantling and reassembly, commissioning, and training services for the instruments</w:t>
            </w:r>
            <w:r>
              <w:rPr>
                <w:rFonts w:hint="default" w:ascii="Times New Roman" w:hAnsi="Times New Roman" w:eastAsia="宋体" w:cs="Times New Roman"/>
                <w:b/>
                <w:bCs/>
                <w:color w:val="FF0000"/>
                <w:sz w:val="21"/>
                <w:szCs w:val="21"/>
                <w:highlight w:val="none"/>
                <w:lang w:val="en-US" w:eastAsia="zh-CN"/>
              </w:rPr>
              <w:t xml:space="preserve">, </w:t>
            </w:r>
            <w:r>
              <w:rPr>
                <w:rFonts w:hint="default" w:ascii="Times New Roman" w:hAnsi="Times New Roman" w:eastAsia="宋体" w:cs="Times New Roman"/>
                <w:b/>
                <w:bCs/>
                <w:color w:val="FF0000"/>
                <w:sz w:val="21"/>
                <w:szCs w:val="21"/>
                <w:highlight w:val="none"/>
              </w:rPr>
              <w:t>are included in the bid price, and the Purchaser shall not be required to pay any additional fees.</w:t>
            </w:r>
          </w:p>
        </w:tc>
      </w:tr>
      <w:tr w14:paraId="5F17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03" w:type="pct"/>
            <w:vMerge w:val="restart"/>
            <w:noWrap w:val="0"/>
            <w:vAlign w:val="center"/>
          </w:tcPr>
          <w:p w14:paraId="0243630A">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val="0"/>
                <w:bCs w:val="0"/>
                <w:color w:val="000000"/>
                <w:sz w:val="21"/>
                <w:szCs w:val="21"/>
                <w:highlight w:val="none"/>
                <w:lang w:val="en-US" w:eastAsia="zh-CN"/>
              </w:rPr>
            </w:pPr>
            <w:r>
              <w:rPr>
                <w:rFonts w:hint="default" w:ascii="Times New Roman" w:hAnsi="Times New Roman" w:eastAsia="宋体" w:cs="Times New Roman"/>
                <w:b w:val="0"/>
                <w:bCs w:val="0"/>
                <w:color w:val="000000"/>
                <w:sz w:val="21"/>
                <w:szCs w:val="21"/>
                <w:highlight w:val="none"/>
                <w:lang w:val="en-US" w:eastAsia="zh-CN"/>
              </w:rPr>
              <w:t>4</w:t>
            </w:r>
          </w:p>
        </w:tc>
        <w:tc>
          <w:tcPr>
            <w:tcW w:w="1418" w:type="pct"/>
            <w:vMerge w:val="restart"/>
            <w:noWrap w:val="0"/>
            <w:vAlign w:val="center"/>
          </w:tcPr>
          <w:p w14:paraId="1D5A213A">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sz w:val="21"/>
                <w:szCs w:val="21"/>
                <w:highlight w:val="none"/>
              </w:rPr>
              <w:t>Acceptance regulations</w:t>
            </w:r>
          </w:p>
        </w:tc>
        <w:tc>
          <w:tcPr>
            <w:tcW w:w="3077" w:type="pct"/>
            <w:noWrap w:val="0"/>
            <w:vAlign w:val="top"/>
          </w:tcPr>
          <w:p w14:paraId="2554CF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0" w:firstLineChars="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bidi="ar"/>
              </w:rPr>
              <w:t xml:space="preserve">4.1 </w:t>
            </w:r>
            <w:r>
              <w:rPr>
                <w:rFonts w:hint="default" w:ascii="Times New Roman" w:hAnsi="Times New Roman" w:eastAsia="宋体" w:cs="Times New Roman"/>
                <w:color w:val="000000"/>
                <w:kern w:val="0"/>
                <w:szCs w:val="21"/>
                <w:highlight w:val="none"/>
                <w:lang w:bidi="ar"/>
              </w:rPr>
              <w:t>The seller shall sign the acceptance report after the goods are inspected and approved by both parties, and the product warranty period shall be calculated from the date of acceptance, and the seller shall provide the product warranty documents.</w:t>
            </w:r>
          </w:p>
        </w:tc>
      </w:tr>
      <w:tr w14:paraId="336EA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03" w:type="pct"/>
            <w:vMerge w:val="continue"/>
            <w:noWrap w:val="0"/>
            <w:vAlign w:val="center"/>
          </w:tcPr>
          <w:p w14:paraId="1CFF9B1B">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val="0"/>
                <w:bCs w:val="0"/>
                <w:color w:val="000000"/>
                <w:sz w:val="21"/>
                <w:szCs w:val="21"/>
                <w:highlight w:val="none"/>
              </w:rPr>
            </w:pPr>
          </w:p>
        </w:tc>
        <w:tc>
          <w:tcPr>
            <w:tcW w:w="1418" w:type="pct"/>
            <w:vMerge w:val="continue"/>
            <w:noWrap w:val="0"/>
            <w:vAlign w:val="center"/>
          </w:tcPr>
          <w:p w14:paraId="142EABCD">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US" w:eastAsia="zh-CN"/>
              </w:rPr>
            </w:pPr>
          </w:p>
        </w:tc>
        <w:tc>
          <w:tcPr>
            <w:tcW w:w="3077" w:type="pct"/>
            <w:noWrap w:val="0"/>
            <w:vAlign w:val="top"/>
          </w:tcPr>
          <w:p w14:paraId="2A7349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 w:val="21"/>
                <w:szCs w:val="21"/>
                <w:highlight w:val="none"/>
                <w:lang w:val="en-US" w:eastAsia="zh-CN" w:bidi="ar"/>
              </w:rPr>
              <w:t xml:space="preserve">4.2 </w:t>
            </w:r>
            <w:r>
              <w:rPr>
                <w:rFonts w:hint="default" w:ascii="Times New Roman" w:hAnsi="Times New Roman" w:eastAsia="宋体" w:cs="Times New Roman"/>
                <w:color w:val="000000"/>
                <w:kern w:val="0"/>
                <w:szCs w:val="21"/>
                <w:highlight w:val="none"/>
                <w:lang w:bidi="ar"/>
              </w:rPr>
              <w:t xml:space="preserve">The </w:t>
            </w:r>
            <w:r>
              <w:rPr>
                <w:rFonts w:hint="default" w:ascii="Times New Roman" w:hAnsi="Times New Roman" w:eastAsia="宋体" w:cs="Times New Roman"/>
                <w:color w:val="000000"/>
                <w:kern w:val="0"/>
                <w:szCs w:val="21"/>
                <w:highlight w:val="none"/>
                <w:lang w:eastAsia="zh-CN" w:bidi="ar"/>
              </w:rPr>
              <w:t xml:space="preserve">Purchaser </w:t>
            </w:r>
            <w:r>
              <w:rPr>
                <w:rFonts w:hint="default" w:ascii="Times New Roman" w:hAnsi="Times New Roman" w:eastAsia="宋体" w:cs="Times New Roman"/>
                <w:color w:val="000000"/>
                <w:kern w:val="0"/>
                <w:szCs w:val="21"/>
                <w:highlight w:val="none"/>
                <w:lang w:bidi="ar"/>
              </w:rPr>
              <w:t>shall issue the Goods Inspection Report to the seller only when the following conditions are met:</w:t>
            </w:r>
          </w:p>
          <w:p w14:paraId="229B80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a. The seller has provided all the products and complete technical data in accordance with the contract.</w:t>
            </w:r>
          </w:p>
          <w:p w14:paraId="25F174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b. The goods meet the requirements of the technical specifications in the tender document, and the performance meets the requirements.</w:t>
            </w:r>
          </w:p>
          <w:p w14:paraId="34C26C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c. If the goods are domestic products, the product certificate must be provided.</w:t>
            </w:r>
          </w:p>
          <w:p w14:paraId="5DA6D5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d. For imported goods, relevant customs declaration documents shall be provided.</w:t>
            </w:r>
          </w:p>
          <w:p w14:paraId="57BF941A">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right="0"/>
              <w:jc w:val="both"/>
              <w:rPr>
                <w:rFonts w:hint="default" w:ascii="Times New Roman" w:hAnsi="Times New Roman" w:eastAsia="宋体" w:cs="Times New Roman"/>
                <w:b w:val="0"/>
                <w:bCs w:val="0"/>
                <w:color w:val="000000"/>
                <w:kern w:val="0"/>
                <w:sz w:val="21"/>
                <w:szCs w:val="21"/>
                <w:highlight w:val="none"/>
                <w:lang w:val="en-US" w:eastAsia="zh-CN" w:bidi="ar"/>
              </w:rPr>
            </w:pPr>
            <w:r>
              <w:rPr>
                <w:rFonts w:hint="default" w:ascii="Times New Roman" w:hAnsi="Times New Roman" w:eastAsia="宋体" w:cs="Times New Roman"/>
                <w:color w:val="000000"/>
                <w:kern w:val="0"/>
                <w:szCs w:val="21"/>
                <w:highlight w:val="none"/>
                <w:lang w:bidi="ar"/>
              </w:rPr>
              <w:t>e. A calibration report is required for this project; for equipment subject to mandatory inspection as stipulated by national regulations, a verification certificate shall also be provided.</w:t>
            </w:r>
          </w:p>
        </w:tc>
      </w:tr>
      <w:tr w14:paraId="666B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03" w:type="pct"/>
            <w:noWrap w:val="0"/>
            <w:vAlign w:val="center"/>
          </w:tcPr>
          <w:p w14:paraId="02B762A5">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val="0"/>
                <w:bCs w:val="0"/>
                <w:color w:val="000000"/>
                <w:sz w:val="21"/>
                <w:szCs w:val="21"/>
                <w:highlight w:val="none"/>
                <w:lang w:val="en-US" w:eastAsia="zh-CN"/>
              </w:rPr>
            </w:pPr>
            <w:r>
              <w:rPr>
                <w:rFonts w:hint="default" w:ascii="Times New Roman" w:hAnsi="Times New Roman" w:eastAsia="宋体" w:cs="Times New Roman"/>
                <w:b w:val="0"/>
                <w:bCs w:val="0"/>
                <w:color w:val="000000"/>
                <w:sz w:val="21"/>
                <w:szCs w:val="21"/>
                <w:highlight w:val="none"/>
                <w:lang w:val="en-US" w:eastAsia="zh-CN"/>
              </w:rPr>
              <w:t>5</w:t>
            </w:r>
          </w:p>
        </w:tc>
        <w:tc>
          <w:tcPr>
            <w:tcW w:w="1418" w:type="pct"/>
            <w:noWrap w:val="0"/>
            <w:vAlign w:val="center"/>
          </w:tcPr>
          <w:p w14:paraId="6AEA3381">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sz w:val="21"/>
                <w:szCs w:val="21"/>
                <w:highlight w:val="none"/>
                <w:lang w:val="en-US" w:eastAsia="zh-CN"/>
              </w:rPr>
            </w:pPr>
            <w:r>
              <w:rPr>
                <w:rFonts w:hint="default" w:ascii="Times New Roman" w:hAnsi="Times New Roman" w:eastAsia="宋体" w:cs="Times New Roman"/>
                <w:b/>
                <w:bCs/>
                <w:color w:val="FF0000"/>
                <w:sz w:val="21"/>
                <w:szCs w:val="21"/>
                <w:highlight w:val="none"/>
              </w:rPr>
              <w:t>*Payment method and schedule</w:t>
            </w:r>
          </w:p>
        </w:tc>
        <w:tc>
          <w:tcPr>
            <w:tcW w:w="3077" w:type="pct"/>
            <w:noWrap w:val="0"/>
            <w:vAlign w:val="top"/>
          </w:tcPr>
          <w:p w14:paraId="6D594F9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bCs/>
                <w:color w:val="FF0000"/>
                <w:kern w:val="0"/>
                <w:sz w:val="21"/>
                <w:szCs w:val="21"/>
                <w:highlight w:val="none"/>
                <w:lang w:val="en-US" w:eastAsia="zh-CN" w:bidi="ar"/>
              </w:rPr>
            </w:pPr>
            <w:r>
              <w:rPr>
                <w:rFonts w:hint="default" w:ascii="Times New Roman" w:hAnsi="Times New Roman" w:eastAsia="宋体" w:cs="Times New Roman"/>
                <w:b/>
                <w:bCs/>
                <w:color w:val="FF0000"/>
                <w:kern w:val="0"/>
                <w:sz w:val="21"/>
                <w:szCs w:val="21"/>
                <w:highlight w:val="none"/>
                <w:lang w:val="en-US" w:eastAsia="zh-CN" w:bidi="ar"/>
              </w:rPr>
              <w:t>The payment of goods shall be made in 【two】 installments:</w:t>
            </w:r>
          </w:p>
          <w:p w14:paraId="355C7DB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bCs/>
                <w:color w:val="FF0000"/>
                <w:kern w:val="0"/>
                <w:sz w:val="21"/>
                <w:szCs w:val="21"/>
                <w:highlight w:val="none"/>
                <w:lang w:val="en-US" w:eastAsia="zh-CN" w:bidi="ar"/>
              </w:rPr>
            </w:pPr>
            <w:r>
              <w:rPr>
                <w:rFonts w:hint="default" w:ascii="Times New Roman" w:hAnsi="Times New Roman" w:eastAsia="宋体" w:cs="Times New Roman"/>
                <w:b/>
                <w:bCs/>
                <w:color w:val="FF0000"/>
                <w:kern w:val="0"/>
                <w:sz w:val="21"/>
                <w:szCs w:val="21"/>
                <w:lang w:val="en-US" w:eastAsia="zh-CN" w:bidi="ar"/>
              </w:rPr>
              <w:t>(</w:t>
            </w:r>
            <w:r>
              <w:rPr>
                <w:rFonts w:hint="eastAsia" w:ascii="Times New Roman" w:hAnsi="Times New Roman" w:eastAsia="宋体" w:cs="Times New Roman"/>
                <w:b/>
                <w:bCs/>
                <w:color w:val="FF0000"/>
                <w:kern w:val="0"/>
                <w:sz w:val="21"/>
                <w:szCs w:val="21"/>
                <w:lang w:val="en-US" w:eastAsia="zh-CN" w:bidi="ar"/>
              </w:rPr>
              <w:t>1</w:t>
            </w:r>
            <w:r>
              <w:rPr>
                <w:rFonts w:hint="default" w:ascii="Times New Roman" w:hAnsi="Times New Roman" w:eastAsia="宋体" w:cs="Times New Roman"/>
                <w:b/>
                <w:bCs/>
                <w:color w:val="FF0000"/>
                <w:kern w:val="0"/>
                <w:sz w:val="21"/>
                <w:szCs w:val="21"/>
                <w:lang w:val="en-US" w:eastAsia="zh-CN" w:bidi="ar"/>
              </w:rPr>
              <w:t>)</w:t>
            </w:r>
            <w:r>
              <w:rPr>
                <w:rFonts w:hint="default" w:ascii="Times New Roman" w:hAnsi="Times New Roman" w:eastAsia="宋体" w:cs="Times New Roman"/>
                <w:b/>
                <w:bCs/>
                <w:color w:val="FF0000"/>
                <w:kern w:val="0"/>
                <w:sz w:val="21"/>
                <w:szCs w:val="21"/>
                <w:highlight w:val="none"/>
                <w:lang w:val="en-US" w:eastAsia="zh-CN" w:bidi="ar"/>
              </w:rPr>
              <w:t>Advance Payment: After the contract is signed, the Purchaser shall pay 40% of the contract price to the Seller within the statutory time limit.</w:t>
            </w:r>
          </w:p>
          <w:p w14:paraId="1ECC57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b/>
                <w:bCs/>
                <w:color w:val="FF0000"/>
                <w:kern w:val="0"/>
                <w:szCs w:val="21"/>
                <w:highlight w:val="none"/>
                <w:lang w:bidi="ar"/>
              </w:rPr>
            </w:pPr>
            <w:r>
              <w:rPr>
                <w:rFonts w:hint="default" w:ascii="Times New Roman" w:hAnsi="Times New Roman" w:cs="Times New Roman"/>
                <w:b/>
                <w:bCs/>
                <w:color w:val="FF0000"/>
                <w:highlight w:val="none"/>
                <w:lang w:val="en-US" w:eastAsia="zh-CN"/>
              </w:rPr>
              <w:t xml:space="preserve">(2) </w:t>
            </w:r>
            <w:r>
              <w:rPr>
                <w:rFonts w:hint="default" w:ascii="Times New Roman" w:hAnsi="Times New Roman" w:eastAsia="宋体" w:cs="Times New Roman"/>
                <w:b/>
                <w:bCs/>
                <w:color w:val="FF0000"/>
                <w:kern w:val="0"/>
                <w:szCs w:val="21"/>
                <w:highlight w:val="none"/>
                <w:lang w:bidi="ar"/>
              </w:rPr>
              <w:t>Progress Payment: Upon the goods arriving at the designated location and passing acceptance inspection, the Purchaser shall pay the remaining 60% of the contract price to the Seller within the statutory time limit.</w:t>
            </w:r>
          </w:p>
          <w:p w14:paraId="12C04EE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bCs/>
                <w:color w:val="FF0000"/>
                <w:kern w:val="0"/>
                <w:sz w:val="21"/>
                <w:szCs w:val="21"/>
                <w:highlight w:val="none"/>
                <w:lang w:val="en-US" w:eastAsia="zh-CN" w:bidi="ar"/>
              </w:rPr>
            </w:pPr>
            <w:r>
              <w:rPr>
                <w:rFonts w:hint="default" w:ascii="Times New Roman" w:hAnsi="Times New Roman" w:eastAsia="宋体" w:cs="Times New Roman"/>
                <w:b/>
                <w:bCs/>
                <w:color w:val="FF0000"/>
                <w:kern w:val="0"/>
                <w:szCs w:val="21"/>
                <w:highlight w:val="none"/>
                <w:lang w:bidi="ar"/>
              </w:rPr>
              <w:t xml:space="preserve">Note: The signing of domestic product contract refers to the signing of domestic goods purchase and sales contract, and the signing of import product contract refers to the signing of import goods purchase and sales contract, entrusted agent import agreement and foreign trade contract. The </w:t>
            </w:r>
            <w:r>
              <w:rPr>
                <w:rFonts w:hint="default" w:ascii="Times New Roman" w:hAnsi="Times New Roman" w:eastAsia="宋体" w:cs="Times New Roman"/>
                <w:b/>
                <w:bCs/>
                <w:color w:val="FF0000"/>
                <w:kern w:val="0"/>
                <w:szCs w:val="21"/>
                <w:highlight w:val="none"/>
                <w:lang w:eastAsia="zh-CN" w:bidi="ar"/>
              </w:rPr>
              <w:t xml:space="preserve">Purchaser </w:t>
            </w:r>
            <w:r>
              <w:rPr>
                <w:rFonts w:hint="default" w:ascii="Times New Roman" w:hAnsi="Times New Roman" w:eastAsia="宋体" w:cs="Times New Roman"/>
                <w:b/>
                <w:bCs/>
                <w:color w:val="FF0000"/>
                <w:kern w:val="0"/>
                <w:szCs w:val="21"/>
                <w:highlight w:val="none"/>
                <w:lang w:bidi="ar"/>
              </w:rPr>
              <w:t>is responsible for handling the approval documents and tax exemption formalities for the import of goods in China, and entrusts a foreign trade company to handle the import business as an agent. The import agent fee shall be paid by the seller.</w:t>
            </w:r>
          </w:p>
        </w:tc>
      </w:tr>
      <w:tr w14:paraId="61E2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503" w:type="pct"/>
            <w:vMerge w:val="restart"/>
            <w:noWrap w:val="0"/>
            <w:vAlign w:val="center"/>
          </w:tcPr>
          <w:p w14:paraId="760BBC93">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6</w:t>
            </w:r>
          </w:p>
        </w:tc>
        <w:tc>
          <w:tcPr>
            <w:tcW w:w="1418" w:type="pct"/>
            <w:vMerge w:val="restart"/>
            <w:noWrap w:val="0"/>
            <w:vAlign w:val="center"/>
          </w:tcPr>
          <w:p w14:paraId="2175A78F">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sz w:val="21"/>
                <w:szCs w:val="21"/>
                <w:highlight w:val="none"/>
                <w:lang w:val="en-US" w:eastAsia="zh-CN"/>
              </w:rPr>
            </w:pPr>
            <w:r>
              <w:rPr>
                <w:rFonts w:hint="default" w:ascii="Times New Roman" w:hAnsi="Times New Roman" w:eastAsia="宋体" w:cs="Times New Roman"/>
                <w:b/>
                <w:bCs/>
                <w:color w:val="FF0000"/>
                <w:sz w:val="21"/>
                <w:szCs w:val="21"/>
                <w:highlight w:val="none"/>
              </w:rPr>
              <w:t>*</w:t>
            </w:r>
            <w:r>
              <w:rPr>
                <w:rFonts w:hint="default" w:ascii="Times New Roman" w:hAnsi="Times New Roman" w:eastAsia="宋体" w:cs="Times New Roman"/>
                <w:b/>
                <w:bCs/>
                <w:color w:val="FF0000"/>
                <w:sz w:val="21"/>
                <w:szCs w:val="21"/>
                <w:highlight w:val="none"/>
                <w:lang w:val="en-US" w:eastAsia="zh-CN"/>
              </w:rPr>
              <w:t>Q</w:t>
            </w:r>
            <w:r>
              <w:rPr>
                <w:rFonts w:hint="default" w:ascii="Times New Roman" w:hAnsi="Times New Roman" w:eastAsia="宋体" w:cs="Times New Roman"/>
                <w:b/>
                <w:bCs/>
                <w:color w:val="FF0000"/>
                <w:sz w:val="21"/>
                <w:szCs w:val="21"/>
                <w:highlight w:val="none"/>
              </w:rPr>
              <w:t>uotation requirements</w:t>
            </w:r>
          </w:p>
        </w:tc>
        <w:tc>
          <w:tcPr>
            <w:tcW w:w="3077" w:type="pct"/>
            <w:noWrap w:val="0"/>
            <w:vAlign w:val="top"/>
          </w:tcPr>
          <w:p w14:paraId="367D7941">
            <w:pPr>
              <w:keepNext w:val="0"/>
              <w:keepLines w:val="0"/>
              <w:widowControl/>
              <w:suppressLineNumbers w:val="0"/>
              <w:spacing w:before="0" w:beforeAutospacing="0" w:after="0" w:afterAutospacing="0" w:line="240" w:lineRule="auto"/>
              <w:ind w:left="0" w:right="0" w:firstLine="0" w:firstLineChars="0"/>
              <w:jc w:val="both"/>
              <w:rPr>
                <w:rFonts w:hint="default" w:ascii="Times New Roman" w:hAnsi="Times New Roman" w:eastAsia="宋体" w:cs="Times New Roman"/>
                <w:b/>
                <w:bCs/>
                <w:color w:val="FF0000"/>
                <w:sz w:val="21"/>
                <w:szCs w:val="21"/>
                <w:highlight w:val="none"/>
                <w:lang w:val="en-US" w:eastAsia="zh-CN"/>
              </w:rPr>
            </w:pPr>
            <w:r>
              <w:rPr>
                <w:rFonts w:hint="default" w:ascii="Times New Roman" w:hAnsi="Times New Roman" w:eastAsia="宋体" w:cs="Times New Roman"/>
                <w:b/>
                <w:bCs/>
                <w:color w:val="FF0000"/>
                <w:sz w:val="21"/>
                <w:szCs w:val="21"/>
                <w:highlight w:val="none"/>
              </w:rPr>
              <w:t>6.1 The total budget control amount of this project is 9</w:t>
            </w:r>
            <w:r>
              <w:rPr>
                <w:rFonts w:hint="default" w:ascii="Times New Roman" w:hAnsi="Times New Roman" w:eastAsia="宋体" w:cs="Times New Roman"/>
                <w:b/>
                <w:bCs/>
                <w:color w:val="FF0000"/>
                <w:sz w:val="21"/>
                <w:szCs w:val="21"/>
                <w:highlight w:val="none"/>
                <w:lang w:val="en-US" w:eastAsia="zh-CN"/>
              </w:rPr>
              <w:t>,</w:t>
            </w:r>
            <w:r>
              <w:rPr>
                <w:rFonts w:hint="default" w:ascii="Times New Roman" w:hAnsi="Times New Roman" w:eastAsia="宋体" w:cs="Times New Roman"/>
                <w:b/>
                <w:bCs/>
                <w:color w:val="FF0000"/>
                <w:sz w:val="21"/>
                <w:szCs w:val="21"/>
                <w:highlight w:val="none"/>
              </w:rPr>
              <w:t>030</w:t>
            </w:r>
            <w:r>
              <w:rPr>
                <w:rFonts w:hint="default" w:ascii="Times New Roman" w:hAnsi="Times New Roman" w:eastAsia="宋体" w:cs="Times New Roman"/>
                <w:b/>
                <w:bCs/>
                <w:color w:val="FF0000"/>
                <w:sz w:val="21"/>
                <w:szCs w:val="21"/>
                <w:highlight w:val="none"/>
                <w:lang w:val="en-US" w:eastAsia="zh-CN"/>
              </w:rPr>
              <w:t>,</w:t>
            </w:r>
            <w:r>
              <w:rPr>
                <w:rFonts w:hint="default" w:ascii="Times New Roman" w:hAnsi="Times New Roman" w:eastAsia="宋体" w:cs="Times New Roman"/>
                <w:b/>
                <w:bCs/>
                <w:color w:val="FF0000"/>
                <w:sz w:val="21"/>
                <w:szCs w:val="21"/>
                <w:highlight w:val="none"/>
              </w:rPr>
              <w:t>000 yuan</w:t>
            </w:r>
            <w:r>
              <w:rPr>
                <w:rFonts w:hint="default" w:ascii="Times New Roman" w:hAnsi="Times New Roman" w:eastAsia="宋体" w:cs="Times New Roman"/>
                <w:b/>
                <w:bCs/>
                <w:color w:val="FF0000"/>
                <w:sz w:val="21"/>
                <w:szCs w:val="21"/>
                <w:highlight w:val="none"/>
                <w:lang w:val="en-US" w:eastAsia="zh-CN"/>
              </w:rPr>
              <w:t>.</w:t>
            </w:r>
            <w:r>
              <w:rPr>
                <w:rFonts w:hint="default" w:ascii="Times New Roman" w:hAnsi="Times New Roman" w:eastAsia="宋体" w:cs="Times New Roman"/>
                <w:b/>
                <w:bCs/>
                <w:color w:val="FF0000"/>
                <w:sz w:val="21"/>
                <w:szCs w:val="21"/>
                <w:highlight w:val="none"/>
              </w:rPr>
              <w:t xml:space="preserve"> Any bid with a quotation that exceeds the total budget control amount, as well as the unit price and total price of each item specified in the Demand Schedule shall be deemed invalid..</w:t>
            </w:r>
          </w:p>
        </w:tc>
      </w:tr>
      <w:tr w14:paraId="10F2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503" w:type="pct"/>
            <w:vMerge w:val="continue"/>
            <w:noWrap w:val="0"/>
            <w:vAlign w:val="center"/>
          </w:tcPr>
          <w:p w14:paraId="3FB6C1CD">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sz w:val="21"/>
                <w:szCs w:val="21"/>
                <w:highlight w:val="none"/>
                <w:lang w:val="en-US" w:eastAsia="zh-CN"/>
              </w:rPr>
            </w:pPr>
          </w:p>
        </w:tc>
        <w:tc>
          <w:tcPr>
            <w:tcW w:w="1418" w:type="pct"/>
            <w:vMerge w:val="continue"/>
            <w:noWrap w:val="0"/>
            <w:vAlign w:val="center"/>
          </w:tcPr>
          <w:p w14:paraId="6EDEB13A">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sz w:val="21"/>
                <w:szCs w:val="21"/>
                <w:highlight w:val="none"/>
                <w:lang w:val="en-US" w:eastAsia="zh-CN"/>
              </w:rPr>
            </w:pPr>
          </w:p>
        </w:tc>
        <w:tc>
          <w:tcPr>
            <w:tcW w:w="3077" w:type="pct"/>
            <w:noWrap w:val="0"/>
            <w:vAlign w:val="top"/>
          </w:tcPr>
          <w:p w14:paraId="38323FEE">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b/>
                <w:bCs/>
                <w:color w:val="FF0000"/>
                <w:sz w:val="21"/>
                <w:szCs w:val="21"/>
                <w:highlight w:val="none"/>
                <w:lang w:val="en-US" w:eastAsia="zh-CN"/>
              </w:rPr>
            </w:pPr>
            <w:r>
              <w:rPr>
                <w:rFonts w:hint="default" w:ascii="Times New Roman" w:hAnsi="Times New Roman" w:eastAsia="宋体" w:cs="Times New Roman"/>
                <w:b/>
                <w:bCs/>
                <w:color w:val="FF0000"/>
                <w:sz w:val="21"/>
                <w:szCs w:val="21"/>
                <w:highlight w:val="none"/>
              </w:rPr>
              <w:t>6.2 Quotation method:</w:t>
            </w:r>
            <w:r>
              <w:rPr>
                <w:rFonts w:hint="default" w:ascii="Times New Roman" w:hAnsi="Times New Roman" w:eastAsia="宋体" w:cs="Times New Roman"/>
                <w:b/>
                <w:bCs/>
                <w:color w:val="FF0000"/>
                <w:sz w:val="21"/>
                <w:szCs w:val="21"/>
                <w:highlight w:val="none"/>
                <w:lang w:val="en-US" w:eastAsia="zh-CN"/>
              </w:rPr>
              <w:t xml:space="preserve"> For goods supplied within the territory of the People's Republic of China:</w:t>
            </w:r>
          </w:p>
          <w:p w14:paraId="02D59539">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b/>
                <w:bCs/>
                <w:color w:val="FF0000"/>
                <w:sz w:val="21"/>
                <w:szCs w:val="21"/>
                <w:highlight w:val="none"/>
                <w:lang w:eastAsia="zh-CN"/>
              </w:rPr>
            </w:pPr>
            <w:r>
              <w:rPr>
                <w:rFonts w:hint="default" w:ascii="Times New Roman" w:hAnsi="Times New Roman" w:eastAsia="宋体" w:cs="Times New Roman"/>
                <w:b/>
                <w:bCs/>
                <w:color w:val="FF0000"/>
                <w:sz w:val="21"/>
                <w:szCs w:val="21"/>
                <w:highlight w:val="none"/>
                <w:lang w:val="en-US" w:eastAsia="zh-CN"/>
              </w:rPr>
              <w:t>Quotation in RMB including tax. The bidding price includes the price of instruments and equipment, taxes, packaging, transportation, loading and unloading, installation, commissioning, technical guidance, training, consulting, services, insurance, testing, acceptance before delivery and use, technical and after-sales services, and free warranty period return, repair and other all other costs.</w:t>
            </w:r>
          </w:p>
          <w:p w14:paraId="240C0286">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b/>
                <w:bCs/>
                <w:color w:val="FF0000"/>
                <w:sz w:val="18"/>
                <w:szCs w:val="18"/>
                <w:highlight w:val="none"/>
                <w:lang w:val="en-US" w:eastAsia="zh-CN"/>
              </w:rPr>
            </w:pPr>
            <w:r>
              <w:rPr>
                <w:rFonts w:hint="default" w:ascii="Times New Roman" w:hAnsi="Times New Roman" w:cs="Times New Roman" w:eastAsiaTheme="minorEastAsia"/>
                <w:b/>
                <w:bCs/>
                <w:color w:val="FF0000"/>
                <w:kern w:val="2"/>
                <w:sz w:val="21"/>
                <w:szCs w:val="22"/>
                <w:highlight w:val="none"/>
                <w:lang w:val="en-US" w:eastAsia="zh-CN" w:bidi="ar-SA"/>
              </w:rPr>
              <w:t xml:space="preserve">Completion of the Bid Itemized Quotation Form: For bids with </w:t>
            </w:r>
            <w:r>
              <w:rPr>
                <w:rFonts w:hint="default" w:ascii="Times New Roman" w:hAnsi="Times New Roman" w:cs="Times New Roman"/>
                <w:b/>
                <w:bCs/>
                <w:color w:val="FF0000"/>
                <w:kern w:val="2"/>
                <w:sz w:val="21"/>
                <w:szCs w:val="22"/>
                <w:highlight w:val="none"/>
                <w:lang w:val="en-US" w:eastAsia="zh-CN" w:bidi="ar-SA"/>
              </w:rPr>
              <w:t>domestic supply</w:t>
            </w:r>
            <w:r>
              <w:rPr>
                <w:rFonts w:hint="default" w:ascii="Times New Roman" w:hAnsi="Times New Roman" w:cs="Times New Roman" w:eastAsiaTheme="minorEastAsia"/>
                <w:b/>
                <w:bCs/>
                <w:color w:val="FF0000"/>
                <w:kern w:val="2"/>
                <w:sz w:val="21"/>
                <w:szCs w:val="22"/>
                <w:highlight w:val="none"/>
                <w:lang w:val="en-US" w:eastAsia="zh-CN" w:bidi="ar-SA"/>
              </w:rPr>
              <w:t xml:space="preserve">, fill out the form in accordance with Form IV-3-1 Bid Itemized Quotation Form (for bids with </w:t>
            </w:r>
            <w:r>
              <w:rPr>
                <w:rFonts w:hint="default" w:ascii="Times New Roman" w:hAnsi="Times New Roman" w:cs="Times New Roman"/>
                <w:b/>
                <w:bCs/>
                <w:color w:val="FF0000"/>
                <w:kern w:val="2"/>
                <w:sz w:val="21"/>
                <w:szCs w:val="22"/>
                <w:highlight w:val="none"/>
                <w:lang w:val="en-US" w:eastAsia="zh-CN" w:bidi="ar-SA"/>
              </w:rPr>
              <w:t>domestic supply</w:t>
            </w:r>
            <w:r>
              <w:rPr>
                <w:rFonts w:hint="default" w:ascii="Times New Roman" w:hAnsi="Times New Roman" w:cs="Times New Roman" w:eastAsiaTheme="minorEastAsia"/>
                <w:b/>
                <w:bCs/>
                <w:color w:val="FF0000"/>
                <w:kern w:val="2"/>
                <w:sz w:val="21"/>
                <w:szCs w:val="22"/>
                <w:highlight w:val="none"/>
                <w:lang w:val="en-US" w:eastAsia="zh-CN" w:bidi="ar-SA"/>
              </w:rPr>
              <w:t>) on Page 53, Volume I.</w:t>
            </w:r>
            <w:r>
              <w:rPr>
                <w:rFonts w:hint="default" w:ascii="Times New Roman" w:hAnsi="Times New Roman" w:cs="Times New Roman"/>
                <w:b/>
                <w:bCs/>
                <w:color w:val="FF0000"/>
                <w:kern w:val="2"/>
                <w:sz w:val="21"/>
                <w:szCs w:val="22"/>
                <w:highlight w:val="none"/>
                <w:lang w:val="en-US" w:eastAsia="zh-CN" w:bidi="ar-SA"/>
              </w:rPr>
              <w:t xml:space="preserve"> </w:t>
            </w:r>
          </w:p>
          <w:p w14:paraId="28268D15">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b/>
                <w:bCs/>
                <w:color w:val="FF0000"/>
                <w:szCs w:val="22"/>
                <w:highlight w:val="none"/>
              </w:rPr>
            </w:pPr>
            <w:r>
              <w:rPr>
                <w:rFonts w:hint="default" w:ascii="Times New Roman" w:hAnsi="Times New Roman" w:cs="Times New Roman"/>
                <w:b/>
                <w:bCs/>
                <w:color w:val="FF0000"/>
                <w:highlight w:val="none"/>
              </w:rPr>
              <w:t>For goods supplied outside the territory of the People's Republic of China:</w:t>
            </w:r>
          </w:p>
          <w:p w14:paraId="6E12DB4A">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b/>
                <w:bCs/>
                <w:color w:val="FF0000"/>
                <w:szCs w:val="22"/>
                <w:highlight w:val="none"/>
              </w:rPr>
            </w:pPr>
            <w:r>
              <w:rPr>
                <w:rFonts w:hint="default" w:ascii="Times New Roman" w:hAnsi="Times New Roman" w:cs="Times New Roman" w:eastAsiaTheme="minorEastAsia"/>
                <w:b/>
                <w:bCs/>
                <w:color w:val="FF0000"/>
                <w:kern w:val="2"/>
                <w:sz w:val="21"/>
                <w:szCs w:val="22"/>
                <w:highlight w:val="none"/>
                <w:lang w:val="en-US" w:eastAsia="zh-CN" w:bidi="ar-SA"/>
              </w:rPr>
              <w:t>Quotation shall be on CIP terms, including unloading, delivered to the location designated by the Purchaser.</w:t>
            </w:r>
            <w:r>
              <w:rPr>
                <w:rFonts w:hint="default" w:ascii="Times New Roman" w:hAnsi="Times New Roman" w:cs="Times New Roman"/>
                <w:b/>
                <w:bCs/>
                <w:color w:val="FF0000"/>
                <w:highlight w:val="none"/>
              </w:rPr>
              <w:t xml:space="preserve">The bid shall be quoted in RMB (If quoting a tax-exempt price, it must be specifically marked; if the tax exemption is impossible, all taxes and fees shall be borne by the </w:t>
            </w:r>
            <w:r>
              <w:rPr>
                <w:rFonts w:hint="default" w:ascii="Times New Roman" w:hAnsi="Times New Roman" w:cs="Times New Roman" w:eastAsiaTheme="minorEastAsia"/>
                <w:b/>
                <w:bCs/>
                <w:color w:val="FF0000"/>
                <w:kern w:val="2"/>
                <w:sz w:val="21"/>
                <w:szCs w:val="22"/>
                <w:highlight w:val="none"/>
                <w:lang w:val="en-US" w:eastAsia="zh-CN" w:bidi="ar-SA"/>
              </w:rPr>
              <w:t>Purchaser</w:t>
            </w:r>
            <w:r>
              <w:rPr>
                <w:rFonts w:hint="default" w:ascii="Times New Roman" w:hAnsi="Times New Roman" w:cs="Times New Roman"/>
                <w:b/>
                <w:bCs/>
                <w:color w:val="FF0000"/>
                <w:highlight w:val="none"/>
              </w:rPr>
              <w:t>). Any bid that does not explicitly state a tax-exempt price in RMB shall be executed as a tax-inclusive price in RMB by default. The bid price shall be a lump-sum price, encompassing all costs incurred for purchase of the goods and after-sales services. This includes, but is not limited to: the cost of the goods; spare parts and accompanying tools; supporting documentation fees; packaging, transportation, and insurance (both domestic and overseas); loading and unloading; installation and commissioning costs; installation materials; reagents and consumables required for acceptance inspection; acceptance inspection fees charged by mandatory third-party supervision and inspection agencies; technical services and training; inspection; replacement and repair of equipment and components due to failures during the warranty period; return freight (both domestic and overseas); foreign trade agency fees; miscellaneous fees; import procedures costs; various labor costs; and all other expenses. If the goods also include software products, the lump-sum price shall likewise encompass all costs associated with the software, including but not limited to: the full purchase price of the software; costs for software encryption devices (dongles), upgrade service packages, and patches; software installation and commissioning fees; software user training fees; and various software after-sales service fees. Except for the expenses explicitly stipulated in this project, the tenderee shall not be liable for any additional costs or bear any additional obligations. The aforementioned price and all associated terms shall remain unchanged throughout the performance of this project, unless modified by mutual written agreement between both parties..The winning bid price (contract price) is the RMB amount quoted by the bidder.</w:t>
            </w:r>
          </w:p>
          <w:p w14:paraId="1AA93750">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b/>
                <w:bCs/>
                <w:color w:val="FF0000"/>
                <w:szCs w:val="22"/>
                <w:highlight w:val="none"/>
              </w:rPr>
            </w:pPr>
            <w:r>
              <w:rPr>
                <w:rFonts w:hint="default" w:ascii="Times New Roman" w:hAnsi="Times New Roman" w:cs="Times New Roman"/>
                <w:b/>
                <w:bCs/>
                <w:color w:val="FF0000"/>
                <w:highlight w:val="none"/>
              </w:rPr>
              <w:t>If the project needs to use foreign currency for settlement, the real-time exchange rate of RMB against foreign exchange published by the Bank of China on the payment date shall be used as the settlement exchange rate, and the exchange rate risk shall be borne by the bid winner.</w:t>
            </w:r>
          </w:p>
          <w:p w14:paraId="4F5B1B1D">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b/>
                <w:bCs/>
                <w:color w:val="FF0000"/>
                <w:szCs w:val="22"/>
                <w:highlight w:val="none"/>
              </w:rPr>
            </w:pPr>
            <w:r>
              <w:rPr>
                <w:rFonts w:hint="default" w:ascii="Times New Roman" w:hAnsi="Times New Roman" w:cs="Times New Roman"/>
                <w:b/>
                <w:bCs/>
                <w:color w:val="FF0000"/>
                <w:highlight w:val="none"/>
              </w:rPr>
              <w:t>Notes:</w:t>
            </w:r>
          </w:p>
          <w:p w14:paraId="57A4A8E4">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b/>
                <w:bCs/>
                <w:color w:val="FF0000"/>
                <w:szCs w:val="22"/>
                <w:highlight w:val="none"/>
              </w:rPr>
            </w:pPr>
            <w:r>
              <w:rPr>
                <w:rFonts w:hint="default" w:ascii="Times New Roman" w:hAnsi="Times New Roman" w:cs="Times New Roman"/>
                <w:b/>
                <w:bCs/>
                <w:color w:val="FF0000"/>
                <w:highlight w:val="none"/>
                <w:lang w:val="en-US" w:eastAsia="zh-CN"/>
              </w:rPr>
              <w:t>1</w:t>
            </w:r>
            <w:r>
              <w:rPr>
                <w:rFonts w:hint="default" w:ascii="Times New Roman" w:hAnsi="Times New Roman" w:cs="Times New Roman"/>
                <w:b/>
                <w:bCs/>
                <w:color w:val="FF0000"/>
                <w:highlight w:val="none"/>
              </w:rPr>
              <w:t>) In accordance with relevant national laws and regulations, if the bid products are ineligible for duty-free importation, a tax-inclusive price in RMB shall be quoted. When quoting a duty-free price for imported products, any domestically supplied portions must be marked as tax-inclusive prices on the bidding subitem quotation form. Valid invoices issued by the tax authority must be provided at the time of payment; otherwise, payment for said portion will not be disbursed.</w:t>
            </w:r>
          </w:p>
          <w:p w14:paraId="6890BE90">
            <w:pPr>
              <w:pStyle w:val="8"/>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color w:val="FF0000"/>
                <w:highlight w:val="none"/>
              </w:rPr>
            </w:pPr>
            <w:r>
              <w:rPr>
                <w:rFonts w:hint="default" w:ascii="Times New Roman" w:hAnsi="Times New Roman" w:cs="Times New Roman"/>
                <w:b/>
                <w:bCs/>
                <w:color w:val="FF0000"/>
                <w:highlight w:val="none"/>
                <w:lang w:val="en-US" w:eastAsia="zh-CN"/>
              </w:rPr>
              <w:t>2</w:t>
            </w:r>
            <w:r>
              <w:rPr>
                <w:rFonts w:hint="default" w:ascii="Times New Roman" w:hAnsi="Times New Roman" w:cs="Times New Roman"/>
                <w:b/>
                <w:bCs/>
                <w:color w:val="FF0000"/>
                <w:highlight w:val="none"/>
              </w:rPr>
              <w:t>) During the transition period of the duty-free policy, the costs of customs clearance using bank guarantees, letters of guarantee, or insurance shall be borne by the bid winner.</w:t>
            </w:r>
          </w:p>
          <w:p w14:paraId="7EFDDE4C">
            <w:pPr>
              <w:pStyle w:val="8"/>
              <w:keepNext w:val="0"/>
              <w:keepLines w:val="0"/>
              <w:widowControl/>
              <w:suppressLineNumbers w:val="0"/>
              <w:spacing w:before="0" w:beforeAutospacing="0" w:after="0" w:afterAutospacing="0" w:line="240" w:lineRule="auto"/>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cs="Times New Roman"/>
                <w:b/>
                <w:bCs/>
                <w:color w:val="FF0000"/>
                <w:highlight w:val="none"/>
              </w:rPr>
              <w:t>Foreign trade agency fee standard: Charge according to the tiered pricing.</w:t>
            </w:r>
            <w:r>
              <w:rPr>
                <w:rFonts w:hint="default" w:ascii="Times New Roman" w:hAnsi="Times New Roman" w:cs="Times New Roman" w:eastAsiaTheme="minorEastAsia"/>
                <w:b/>
                <w:bCs/>
                <w:color w:val="FF0000"/>
                <w:kern w:val="2"/>
                <w:sz w:val="21"/>
                <w:szCs w:val="22"/>
                <w:highlight w:val="none"/>
                <w:lang w:val="en-US" w:eastAsia="zh-CN" w:bidi="ar-SA"/>
              </w:rPr>
              <w:t xml:space="preserve">  </w:t>
            </w:r>
            <w:r>
              <w:rPr>
                <w:rFonts w:hint="default" w:ascii="Times New Roman" w:hAnsi="Times New Roman" w:eastAsia="宋体" w:cs="Times New Roman"/>
                <w:b/>
                <w:bCs/>
                <w:color w:val="FF0000"/>
                <w:kern w:val="2"/>
                <w:sz w:val="21"/>
                <w:szCs w:val="21"/>
                <w:highlight w:val="none"/>
                <w:lang w:val="en-GB" w:eastAsia="zh-CN" w:bidi="ar-SA"/>
              </w:rPr>
              <w:t xml:space="preserve">      </w:t>
            </w:r>
          </w:p>
          <w:tbl>
            <w:tblPr>
              <w:tblStyle w:val="15"/>
              <w:tblW w:w="2804" w:type="pct"/>
              <w:jc w:val="center"/>
              <w:tblLayout w:type="autofit"/>
              <w:tblCellMar>
                <w:top w:w="0" w:type="dxa"/>
                <w:left w:w="30" w:type="dxa"/>
                <w:bottom w:w="0" w:type="dxa"/>
                <w:right w:w="30" w:type="dxa"/>
              </w:tblCellMar>
            </w:tblPr>
            <w:tblGrid>
              <w:gridCol w:w="1659"/>
              <w:gridCol w:w="1161"/>
            </w:tblGrid>
            <w:tr w14:paraId="144D96DE">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EACCAF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Contract amount (rmb)</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5545C80">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Agency fee rate (%)</w:t>
                  </w:r>
                </w:p>
              </w:tc>
            </w:tr>
            <w:tr w14:paraId="565BFE15">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1C2CD29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Below 1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10278C8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kern w:val="2"/>
                      <w:sz w:val="21"/>
                      <w:szCs w:val="21"/>
                      <w:highlight w:val="none"/>
                      <w:lang w:val="en-GB" w:eastAsia="zh-CN" w:bidi="ar-SA"/>
                    </w:rPr>
                    <w:t>1</w:t>
                  </w:r>
                </w:p>
              </w:tc>
            </w:tr>
            <w:tr w14:paraId="73EB3BA6">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36DF48C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1 million – 3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C7FE5B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US" w:eastAsia="zh-CN" w:bidi="ar-SA"/>
                    </w:rPr>
                    <w:t>0.9</w:t>
                  </w:r>
                </w:p>
              </w:tc>
            </w:tr>
            <w:tr w14:paraId="360F9BD7">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EB61B58">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3 million – 5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9F1010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US" w:eastAsia="zh-CN" w:bidi="ar-SA"/>
                    </w:rPr>
                    <w:t>0.8</w:t>
                  </w:r>
                </w:p>
              </w:tc>
            </w:tr>
            <w:tr w14:paraId="69ABE6AF">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F01AC1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5 million – 10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5BF117F">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GB" w:eastAsia="zh-CN" w:bidi="ar-SA"/>
                    </w:rPr>
                    <w:t>0.</w:t>
                  </w:r>
                  <w:r>
                    <w:rPr>
                      <w:rFonts w:hint="default" w:ascii="Times New Roman" w:hAnsi="Times New Roman" w:eastAsia="宋体" w:cs="Times New Roman"/>
                      <w:b/>
                      <w:bCs/>
                      <w:color w:val="FF0000"/>
                      <w:kern w:val="2"/>
                      <w:sz w:val="21"/>
                      <w:szCs w:val="21"/>
                      <w:highlight w:val="none"/>
                      <w:lang w:val="en-US" w:eastAsia="zh-CN" w:bidi="ar-SA"/>
                    </w:rPr>
                    <w:t>6</w:t>
                  </w:r>
                </w:p>
              </w:tc>
            </w:tr>
            <w:tr w14:paraId="63423F5C">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5D934F4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Over 10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53A60EA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GB" w:eastAsia="zh-CN" w:bidi="ar-SA"/>
                    </w:rPr>
                    <w:t>0.</w:t>
                  </w:r>
                  <w:r>
                    <w:rPr>
                      <w:rFonts w:hint="default" w:ascii="Times New Roman" w:hAnsi="Times New Roman" w:eastAsia="宋体" w:cs="Times New Roman"/>
                      <w:b/>
                      <w:bCs/>
                      <w:color w:val="FF0000"/>
                      <w:kern w:val="2"/>
                      <w:sz w:val="21"/>
                      <w:szCs w:val="21"/>
                      <w:highlight w:val="none"/>
                      <w:lang w:val="en-US" w:eastAsia="zh-CN" w:bidi="ar-SA"/>
                    </w:rPr>
                    <w:t>4</w:t>
                  </w:r>
                </w:p>
              </w:tc>
            </w:tr>
          </w:tbl>
          <w:p w14:paraId="623F30B8">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sz w:val="21"/>
                <w:szCs w:val="21"/>
                <w:highlight w:val="none"/>
                <w:lang w:val="en-US" w:eastAsia="zh-CN"/>
              </w:rPr>
            </w:pPr>
            <w:r>
              <w:rPr>
                <w:rFonts w:hint="default" w:ascii="Times New Roman" w:hAnsi="Times New Roman" w:cs="Times New Roman"/>
                <w:b/>
                <w:bCs/>
                <w:color w:val="FF0000"/>
                <w:highlight w:val="none"/>
              </w:rPr>
              <w:t>Completion of the Bid Itemized Quotation Form</w:t>
            </w:r>
            <w:r>
              <w:rPr>
                <w:rFonts w:hint="default" w:ascii="Times New Roman" w:hAnsi="Times New Roman" w:cs="Times New Roman"/>
                <w:b/>
                <w:bCs/>
                <w:color w:val="FF0000"/>
                <w:highlight w:val="none"/>
                <w:lang w:val="en-US" w:eastAsia="zh-CN"/>
              </w:rPr>
              <w:t xml:space="preserve">: </w:t>
            </w:r>
            <w:r>
              <w:rPr>
                <w:rFonts w:hint="default" w:ascii="Times New Roman" w:hAnsi="Times New Roman" w:cs="Times New Roman"/>
                <w:b/>
                <w:bCs/>
                <w:color w:val="FF0000"/>
                <w:highlight w:val="none"/>
              </w:rPr>
              <w:t>(for Bids with Overseas Supply)</w:t>
            </w:r>
            <w:r>
              <w:rPr>
                <w:rFonts w:hint="default" w:ascii="Times New Roman" w:hAnsi="Times New Roman" w:cs="Times New Roman"/>
                <w:b/>
                <w:bCs/>
                <w:color w:val="FF0000"/>
                <w:highlight w:val="none"/>
                <w:lang w:val="en-US" w:eastAsia="zh-CN"/>
              </w:rPr>
              <w:t>, f</w:t>
            </w:r>
            <w:r>
              <w:rPr>
                <w:rFonts w:hint="default" w:ascii="Times New Roman" w:hAnsi="Times New Roman" w:cs="Times New Roman"/>
                <w:b/>
                <w:bCs/>
                <w:color w:val="FF0000"/>
                <w:highlight w:val="none"/>
              </w:rPr>
              <w:t xml:space="preserve">ill in the form in accordance with </w:t>
            </w:r>
            <w:r>
              <w:rPr>
                <w:rFonts w:hint="default" w:ascii="Times New Roman" w:hAnsi="Times New Roman" w:cs="Times New Roman"/>
                <w:b/>
                <w:bCs/>
                <w:color w:val="FF0000"/>
                <w:highlight w:val="none"/>
                <w:lang w:val="en-US" w:eastAsia="zh-CN"/>
              </w:rPr>
              <w:t>the f</w:t>
            </w:r>
            <w:r>
              <w:rPr>
                <w:rFonts w:hint="default" w:ascii="Times New Roman" w:hAnsi="Times New Roman" w:cs="Times New Roman"/>
                <w:b/>
                <w:bCs/>
                <w:color w:val="FF0000"/>
                <w:highlight w:val="none"/>
              </w:rPr>
              <w:t>orm</w:t>
            </w:r>
            <w:r>
              <w:rPr>
                <w:rFonts w:hint="default" w:ascii="Times New Roman" w:hAnsi="Times New Roman" w:cs="Times New Roman"/>
                <w:b/>
                <w:bCs/>
                <w:color w:val="FF0000"/>
                <w:highlight w:val="none"/>
                <w:lang w:val="en-US" w:eastAsia="zh-CN"/>
              </w:rPr>
              <w:t>at of</w:t>
            </w:r>
            <w:r>
              <w:rPr>
                <w:rFonts w:hint="default" w:ascii="Times New Roman" w:hAnsi="Times New Roman" w:cs="Times New Roman"/>
                <w:b/>
                <w:bCs/>
                <w:color w:val="FF0000"/>
                <w:highlight w:val="none"/>
              </w:rPr>
              <w:t xml:space="preserve"> IV-3-2 Bid Itemized Quotation Form (for Bids with Overseas Supply) specified in the Volume II</w:t>
            </w:r>
            <w:r>
              <w:rPr>
                <w:rFonts w:hint="default" w:ascii="Times New Roman" w:hAnsi="Times New Roman" w:cs="Times New Roman"/>
                <w:b/>
                <w:bCs/>
                <w:color w:val="FF0000"/>
                <w:highlight w:val="none"/>
                <w:lang w:val="en-US" w:eastAsia="zh-CN"/>
              </w:rPr>
              <w:t xml:space="preserve"> </w:t>
            </w:r>
            <w:r>
              <w:rPr>
                <w:rFonts w:hint="default" w:ascii="Times New Roman" w:hAnsi="Times New Roman" w:cs="Times New Roman"/>
                <w:b/>
                <w:bCs/>
                <w:color w:val="FF0000"/>
                <w:highlight w:val="none"/>
              </w:rPr>
              <w:t>bidding documents.</w:t>
            </w:r>
          </w:p>
        </w:tc>
      </w:tr>
      <w:tr w14:paraId="7BB9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503" w:type="pct"/>
            <w:vMerge w:val="restart"/>
            <w:noWrap w:val="0"/>
            <w:vAlign w:val="center"/>
          </w:tcPr>
          <w:p w14:paraId="3DE7BE36">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val="0"/>
                <w:bCs w:val="0"/>
                <w:color w:val="000000"/>
                <w:sz w:val="21"/>
                <w:szCs w:val="21"/>
                <w:highlight w:val="none"/>
                <w:lang w:val="en-US" w:eastAsia="zh-CN"/>
              </w:rPr>
            </w:pPr>
            <w:r>
              <w:rPr>
                <w:rFonts w:hint="default" w:ascii="Times New Roman" w:hAnsi="Times New Roman" w:eastAsia="宋体" w:cs="Times New Roman"/>
                <w:b w:val="0"/>
                <w:bCs w:val="0"/>
                <w:color w:val="000000"/>
                <w:sz w:val="21"/>
                <w:szCs w:val="21"/>
                <w:highlight w:val="none"/>
                <w:lang w:val="en-US" w:eastAsia="zh-CN"/>
              </w:rPr>
              <w:t>7</w:t>
            </w:r>
          </w:p>
        </w:tc>
        <w:tc>
          <w:tcPr>
            <w:tcW w:w="1418" w:type="pct"/>
            <w:vMerge w:val="restart"/>
            <w:noWrap w:val="0"/>
            <w:vAlign w:val="center"/>
          </w:tcPr>
          <w:p w14:paraId="49CDDF00">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sz w:val="21"/>
                <w:szCs w:val="21"/>
                <w:highlight w:val="none"/>
              </w:rPr>
              <w:t>Quality and intellectual property requirements</w:t>
            </w:r>
            <w:r>
              <w:rPr>
                <w:rFonts w:hint="default" w:ascii="Times New Roman" w:hAnsi="Times New Roman" w:eastAsia="宋体" w:cs="Times New Roman"/>
                <w:sz w:val="21"/>
                <w:szCs w:val="21"/>
                <w:highlight w:val="none"/>
                <w:lang w:val="en-US" w:eastAsia="zh-CN"/>
              </w:rPr>
              <w:t xml:space="preserve"> </w:t>
            </w:r>
          </w:p>
        </w:tc>
        <w:tc>
          <w:tcPr>
            <w:tcW w:w="3077" w:type="pct"/>
            <w:noWrap w:val="0"/>
            <w:vAlign w:val="top"/>
          </w:tcPr>
          <w:p w14:paraId="493614E0">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b w:val="0"/>
                <w:bCs w:val="0"/>
                <w:color w:val="auto"/>
                <w:kern w:val="2"/>
                <w:sz w:val="21"/>
                <w:szCs w:val="21"/>
                <w:highlight w:val="none"/>
                <w:lang w:val="en-GB" w:eastAsia="zh-CN" w:bidi="ar-SA"/>
              </w:rPr>
            </w:pPr>
            <w:r>
              <w:rPr>
                <w:rFonts w:hint="default" w:ascii="Times New Roman" w:hAnsi="Times New Roman" w:eastAsia="宋体" w:cs="Times New Roman"/>
                <w:sz w:val="21"/>
                <w:szCs w:val="21"/>
                <w:highlight w:val="none"/>
              </w:rPr>
              <w:t xml:space="preserve">7.1 The goods (including spare parts) provided by the </w:t>
            </w:r>
            <w:r>
              <w:rPr>
                <w:rFonts w:hint="default" w:ascii="Times New Roman" w:hAnsi="Times New Roman" w:eastAsia="宋体" w:cs="Times New Roman"/>
                <w:sz w:val="21"/>
                <w:szCs w:val="21"/>
                <w:highlight w:val="none"/>
                <w:lang w:val="en-US" w:eastAsia="zh-CN"/>
              </w:rPr>
              <w:t>bid winner</w:t>
            </w:r>
            <w:r>
              <w:rPr>
                <w:rFonts w:hint="default" w:ascii="Times New Roman" w:hAnsi="Times New Roman" w:eastAsia="宋体" w:cs="Times New Roman"/>
                <w:sz w:val="21"/>
                <w:szCs w:val="21"/>
                <w:highlight w:val="none"/>
              </w:rPr>
              <w:t xml:space="preserve"> must be brand-new products, free from scratches, damage, defects, or hidden defects; they must be accompanied by complete technical documentation and bear the date of manufacture, manufacturer’s name, factory address, and certificate of conformity, among other required markings.</w:t>
            </w:r>
          </w:p>
        </w:tc>
      </w:tr>
      <w:tr w14:paraId="1C6D3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03" w:type="pct"/>
            <w:vMerge w:val="continue"/>
            <w:noWrap w:val="0"/>
            <w:vAlign w:val="center"/>
          </w:tcPr>
          <w:p w14:paraId="59A662E7">
            <w:pPr>
              <w:pStyle w:val="8"/>
              <w:keepNext w:val="0"/>
              <w:keepLines w:val="0"/>
              <w:widowControl/>
              <w:suppressLineNumbers w:val="0"/>
              <w:spacing w:before="0" w:beforeAutospacing="0" w:afterAutospacing="0"/>
              <w:ind w:left="0" w:right="0" w:firstLine="420" w:firstLineChars="200"/>
              <w:jc w:val="both"/>
              <w:rPr>
                <w:rFonts w:hint="default" w:ascii="Times New Roman" w:hAnsi="Times New Roman" w:eastAsia="宋体" w:cs="Times New Roman"/>
                <w:sz w:val="21"/>
                <w:szCs w:val="21"/>
                <w:highlight w:val="none"/>
              </w:rPr>
            </w:pPr>
          </w:p>
        </w:tc>
        <w:tc>
          <w:tcPr>
            <w:tcW w:w="1418" w:type="pct"/>
            <w:vMerge w:val="continue"/>
            <w:noWrap w:val="0"/>
            <w:vAlign w:val="center"/>
          </w:tcPr>
          <w:p w14:paraId="61401D1F">
            <w:pPr>
              <w:pStyle w:val="8"/>
              <w:keepNext w:val="0"/>
              <w:keepLines w:val="0"/>
              <w:widowControl/>
              <w:suppressLineNumbers w:val="0"/>
              <w:spacing w:before="0" w:beforeAutospacing="0" w:afterAutospacing="0"/>
              <w:ind w:left="0" w:right="0" w:firstLine="420" w:firstLineChars="200"/>
              <w:jc w:val="both"/>
              <w:rPr>
                <w:rFonts w:hint="default" w:ascii="Times New Roman" w:hAnsi="Times New Roman" w:eastAsia="宋体" w:cs="Times New Roman"/>
                <w:sz w:val="21"/>
                <w:szCs w:val="21"/>
                <w:highlight w:val="none"/>
              </w:rPr>
            </w:pPr>
          </w:p>
        </w:tc>
        <w:tc>
          <w:tcPr>
            <w:tcW w:w="3077" w:type="pct"/>
            <w:noWrap w:val="0"/>
            <w:vAlign w:val="top"/>
          </w:tcPr>
          <w:p w14:paraId="62EA34C7">
            <w:pPr>
              <w:pStyle w:val="8"/>
              <w:keepNext w:val="0"/>
              <w:keepLines w:val="0"/>
              <w:widowControl/>
              <w:suppressLineNumbers w:val="0"/>
              <w:pBdr>
                <w:top w:val="none" w:color="auto" w:sz="0" w:space="0"/>
                <w:left w:val="none" w:color="auto" w:sz="0" w:space="0"/>
                <w:right w:val="none" w:color="auto" w:sz="0" w:space="0"/>
              </w:pBdr>
              <w:bidi w:val="0"/>
              <w:spacing w:before="0" w:beforeAutospacing="0" w:after="0" w:afterAutospacing="0"/>
              <w:ind w:left="0" w:right="0"/>
              <w:jc w:val="both"/>
              <w:rPr>
                <w:rFonts w:hint="default" w:ascii="Times New Roman" w:hAnsi="Times New Roman" w:eastAsia="宋体" w:cs="Times New Roman"/>
                <w:b w:val="0"/>
                <w:bCs w:val="0"/>
                <w:color w:val="auto"/>
                <w:kern w:val="2"/>
                <w:sz w:val="21"/>
                <w:szCs w:val="21"/>
                <w:highlight w:val="none"/>
                <w:lang w:val="en-GB" w:eastAsia="zh-CN" w:bidi="ar-SA"/>
              </w:rPr>
            </w:pPr>
            <w:r>
              <w:rPr>
                <w:rFonts w:hint="default" w:ascii="Times New Roman" w:hAnsi="Times New Roman" w:eastAsia="宋体" w:cs="Times New Roman"/>
                <w:color w:val="000000"/>
                <w:kern w:val="0"/>
                <w:sz w:val="21"/>
                <w:szCs w:val="21"/>
                <w:highlight w:val="none"/>
                <w:lang w:val="en-US" w:eastAsia="zh-CN" w:bidi="ar"/>
              </w:rPr>
              <w:t xml:space="preserve">7.2 </w:t>
            </w:r>
            <w:r>
              <w:rPr>
                <w:rFonts w:hint="default" w:ascii="Times New Roman" w:hAnsi="Times New Roman" w:eastAsia="宋体" w:cs="Times New Roman"/>
                <w:sz w:val="21"/>
                <w:szCs w:val="21"/>
                <w:highlight w:val="none"/>
                <w:lang w:val="en-GB" w:eastAsia="zh-CN"/>
              </w:rPr>
              <w:t xml:space="preserve">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guarantees that the sourcing channels for the goods are lawful, and that the goods may be safely and legally used in the ordinary course of business.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warrants that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shall be held harmless from any lawsuits or judicial intervention brought by any third party alleging that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’s use of the goods or any part thereof infringes upon the lawful rights and interests of the third party, including but not limited to copyrights, patents, trademarks, portrait rights, trade secrets, technical know-how, and other legitimate rights. In the event of any such lawsuit or judicial intervention, all legal liabilities (including but not limited to third-party claims against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or any other losses suffered by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shall be borne by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After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has assumed any such liability,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shall have the right to seek full recourse against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er, including but not limited to all expenses incurred in resolving the dispute, such as litigation costs, attorney’s fees, and other associated costs.</w:t>
            </w:r>
          </w:p>
        </w:tc>
      </w:tr>
      <w:tr w14:paraId="202A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7" w:hRule="atLeast"/>
        </w:trPr>
        <w:tc>
          <w:tcPr>
            <w:tcW w:w="503" w:type="pct"/>
            <w:vMerge w:val="continue"/>
            <w:noWrap w:val="0"/>
            <w:vAlign w:val="center"/>
          </w:tcPr>
          <w:p w14:paraId="4239FA90">
            <w:pPr>
              <w:pStyle w:val="8"/>
              <w:keepNext w:val="0"/>
              <w:keepLines w:val="0"/>
              <w:widowControl/>
              <w:suppressLineNumbers w:val="0"/>
              <w:spacing w:before="0" w:beforeAutospacing="0" w:afterAutospacing="0"/>
              <w:ind w:left="0" w:right="0" w:firstLine="420" w:firstLineChars="200"/>
              <w:jc w:val="both"/>
              <w:rPr>
                <w:rFonts w:hint="default" w:ascii="Times New Roman" w:hAnsi="Times New Roman" w:eastAsia="宋体" w:cs="Times New Roman"/>
                <w:sz w:val="21"/>
                <w:szCs w:val="21"/>
                <w:highlight w:val="none"/>
              </w:rPr>
            </w:pPr>
          </w:p>
        </w:tc>
        <w:tc>
          <w:tcPr>
            <w:tcW w:w="1418" w:type="pct"/>
            <w:vMerge w:val="continue"/>
            <w:noWrap w:val="0"/>
            <w:vAlign w:val="center"/>
          </w:tcPr>
          <w:p w14:paraId="0DE8E08E">
            <w:pPr>
              <w:pStyle w:val="8"/>
              <w:keepNext w:val="0"/>
              <w:keepLines w:val="0"/>
              <w:widowControl/>
              <w:suppressLineNumbers w:val="0"/>
              <w:spacing w:before="0" w:beforeAutospacing="0" w:afterAutospacing="0"/>
              <w:ind w:left="0" w:right="0" w:firstLine="420" w:firstLineChars="200"/>
              <w:jc w:val="both"/>
              <w:rPr>
                <w:rFonts w:hint="default" w:ascii="Times New Roman" w:hAnsi="Times New Roman" w:eastAsia="宋体" w:cs="Times New Roman"/>
                <w:sz w:val="21"/>
                <w:szCs w:val="21"/>
                <w:highlight w:val="none"/>
              </w:rPr>
            </w:pPr>
          </w:p>
        </w:tc>
        <w:tc>
          <w:tcPr>
            <w:tcW w:w="3077" w:type="pct"/>
            <w:noWrap w:val="0"/>
            <w:vAlign w:val="top"/>
          </w:tcPr>
          <w:p w14:paraId="039DFAA4">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 xml:space="preserve">7.3 </w:t>
            </w:r>
            <w:r>
              <w:rPr>
                <w:rFonts w:hint="default" w:ascii="Times New Roman" w:hAnsi="Times New Roman" w:eastAsia="宋体" w:cs="Times New Roman"/>
                <w:sz w:val="21"/>
                <w:szCs w:val="21"/>
                <w:highlight w:val="none"/>
                <w:lang w:val="en-GB" w:eastAsia="zh-CN"/>
              </w:rPr>
              <w:t xml:space="preserve">If the goods delivered by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include bundled software,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warrants that it lawfully owns the independent intellectual property rights to such software (or holds a valid authorization license from the software copyright holder). In addition,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shall guarantee that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lawfully enjoys a perpetual, royalty-free right to use the said software. If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fails to obtain the proprietary intellectual property rights or lawful usage rights to the bundled software, resulting in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being unable to use the software on a perpetual, royalty-free basis, or causing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to become involved in a dispute with a third party regarding the use of the software,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shall compensate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for all direct and indirect losses incurred.</w:t>
            </w:r>
            <w:r>
              <w:rPr>
                <w:rFonts w:hint="default" w:ascii="Times New Roman" w:hAnsi="Times New Roman" w:eastAsia="宋体" w:cs="Times New Roman"/>
                <w:sz w:val="21"/>
                <w:szCs w:val="21"/>
                <w:highlight w:val="none"/>
                <w:lang w:val="en-US" w:eastAsia="zh-CN"/>
              </w:rPr>
              <w:t xml:space="preserve"> </w:t>
            </w:r>
          </w:p>
        </w:tc>
      </w:tr>
      <w:tr w14:paraId="3787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03" w:type="pct"/>
            <w:vMerge w:val="restart"/>
            <w:noWrap w:val="0"/>
            <w:vAlign w:val="center"/>
          </w:tcPr>
          <w:p w14:paraId="56E783C7">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color w:val="auto"/>
                <w:kern w:val="2"/>
                <w:sz w:val="21"/>
                <w:szCs w:val="21"/>
                <w:highlight w:val="none"/>
                <w:lang w:val="en-US" w:eastAsia="zh-CN" w:bidi="ar-SA"/>
              </w:rPr>
              <w:t>8</w:t>
            </w:r>
          </w:p>
        </w:tc>
        <w:tc>
          <w:tcPr>
            <w:tcW w:w="1418" w:type="pct"/>
            <w:vMerge w:val="restart"/>
            <w:noWrap w:val="0"/>
            <w:vAlign w:val="center"/>
          </w:tcPr>
          <w:p w14:paraId="5110EFC3">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w:t>
            </w:r>
            <w:r>
              <w:rPr>
                <w:rFonts w:hint="default" w:ascii="Times New Roman" w:hAnsi="Times New Roman" w:eastAsia="宋体" w:cs="Times New Roman"/>
                <w:b/>
                <w:bCs/>
                <w:color w:val="FF0000"/>
                <w:sz w:val="21"/>
                <w:szCs w:val="21"/>
                <w:highlight w:val="none"/>
                <w:lang w:val="en-US" w:eastAsia="zh-CN"/>
              </w:rPr>
              <w:t>L</w:t>
            </w:r>
            <w:r>
              <w:rPr>
                <w:rFonts w:hint="default" w:ascii="Times New Roman" w:hAnsi="Times New Roman" w:eastAsia="宋体" w:cs="Times New Roman"/>
                <w:b/>
                <w:bCs/>
                <w:color w:val="FF0000"/>
                <w:sz w:val="21"/>
                <w:szCs w:val="21"/>
                <w:highlight w:val="none"/>
              </w:rPr>
              <w:t>iability for breach of contract</w:t>
            </w:r>
          </w:p>
        </w:tc>
        <w:tc>
          <w:tcPr>
            <w:tcW w:w="3077" w:type="pct"/>
            <w:noWrap w:val="0"/>
            <w:vAlign w:val="top"/>
          </w:tcPr>
          <w:p w14:paraId="63080A62">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lang w:val="en-US" w:eastAsia="zh-CN"/>
              </w:rPr>
              <w:t xml:space="preserve">(1) </w:t>
            </w:r>
            <w:r>
              <w:rPr>
                <w:rFonts w:hint="default" w:ascii="Times New Roman" w:hAnsi="Times New Roman" w:eastAsia="宋体" w:cs="Times New Roman"/>
                <w:b/>
                <w:bCs/>
                <w:color w:val="FF0000"/>
                <w:sz w:val="22"/>
                <w:highlight w:val="none"/>
                <w:lang w:val="en-GB"/>
              </w:rPr>
              <w:t xml:space="preserve">In the event that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fails to deliver the goods or fails to complete the installation and commissioning to a satisfactory standard by the agreed deadline,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pay liquidated damages for late delivery to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The liquidated damages shall be calculated at 5‰ of the total goods price under this Agreement for each day of delay.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shall have the right to directly deduct such liquidated damages from any contract payments due to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Moreover,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shall have the option to either require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to continue delivering the goods until they fully meet the requirements of this Project, or to terminate the contract in accordance with the provisions of Paragraph (4) of this Clause and hold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liable for breach.</w:t>
            </w:r>
          </w:p>
        </w:tc>
      </w:tr>
      <w:tr w14:paraId="6889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03" w:type="pct"/>
            <w:vMerge w:val="continue"/>
            <w:noWrap w:val="0"/>
            <w:vAlign w:val="center"/>
          </w:tcPr>
          <w:p w14:paraId="35AC5075">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kern w:val="2"/>
                <w:sz w:val="21"/>
                <w:szCs w:val="21"/>
                <w:highlight w:val="none"/>
                <w:lang w:val="en-GB" w:eastAsia="zh-CN" w:bidi="ar-SA"/>
              </w:rPr>
            </w:pPr>
          </w:p>
        </w:tc>
        <w:tc>
          <w:tcPr>
            <w:tcW w:w="1418" w:type="pct"/>
            <w:vMerge w:val="continue"/>
            <w:noWrap w:val="0"/>
            <w:vAlign w:val="center"/>
          </w:tcPr>
          <w:p w14:paraId="2EE57AFA">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p>
        </w:tc>
        <w:tc>
          <w:tcPr>
            <w:tcW w:w="3077" w:type="pct"/>
            <w:noWrap w:val="0"/>
            <w:vAlign w:val="top"/>
          </w:tcPr>
          <w:p w14:paraId="67E51509">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2"/>
                <w:highlight w:val="none"/>
                <w:lang w:val="en-GB"/>
              </w:rPr>
              <w:t xml:space="preserve">(2) If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or the warranty service provider fails to provide warranty services in line with provisions of the tender documents for this Project,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shall have the right to engage a third party at its own discretion to provide the required technical support and after-sales services. All resulting costs and losses incurred thereby, including but not limited to the third-party maintenance expenses and any other economic losses suffered by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shall be borne by the warranty service provider and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who shall the bear joint and several liability for such compensation.</w:t>
            </w:r>
          </w:p>
        </w:tc>
      </w:tr>
      <w:tr w14:paraId="6F38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03" w:type="pct"/>
            <w:vMerge w:val="continue"/>
            <w:noWrap w:val="0"/>
            <w:vAlign w:val="center"/>
          </w:tcPr>
          <w:p w14:paraId="1C4D5B1B">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kern w:val="2"/>
                <w:sz w:val="21"/>
                <w:szCs w:val="21"/>
                <w:highlight w:val="none"/>
                <w:lang w:val="en-GB" w:eastAsia="zh-CN" w:bidi="ar-SA"/>
              </w:rPr>
            </w:pPr>
          </w:p>
        </w:tc>
        <w:tc>
          <w:tcPr>
            <w:tcW w:w="1418" w:type="pct"/>
            <w:vMerge w:val="continue"/>
            <w:noWrap w:val="0"/>
            <w:vAlign w:val="center"/>
          </w:tcPr>
          <w:p w14:paraId="2CBB2275">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p>
        </w:tc>
        <w:tc>
          <w:tcPr>
            <w:tcW w:w="3077" w:type="pct"/>
            <w:noWrap w:val="0"/>
            <w:vAlign w:val="top"/>
          </w:tcPr>
          <w:p w14:paraId="5A81F90D">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(3) If the goods provided by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fail to comply with the provisions of the tender documents for this Project, or are unable to reach a normal operating condition, and consequently fail to pass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’s acceptance inspection, or if they have passed acceptance inspection but are still within the warranty period,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shall have the right to choose one of the following remedies:</w:t>
            </w:r>
          </w:p>
          <w:p w14:paraId="0B73A71C">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a. Reject the goods, terminate this Contract, and demand a refund from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Additionally,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be required to pay liquidated damages equal to 10% of the total goods value, and all expenses incurred from the return of the goods shall be borne by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w:t>
            </w:r>
          </w:p>
          <w:p w14:paraId="3CBC0F97">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b. Accept the replacement goods redelivered by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which shall be deemed as late delivery.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bear the liability for breach of contract in accordance with the provisions of Paragraph (1) of this Clause. The period of delay shall commence from the originally agreed delivery date, and shall continue until the date the replacement goods pass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’s acceptance inspection;</w:t>
            </w:r>
          </w:p>
          <w:p w14:paraId="0FC9374C">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c. Require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to ensure quality, provide warranty services, and maintain the goods. Moreover,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shall have the right to require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to replace or return the goods within a specified time limit, and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bear the actual costs incurred for repairs, replacements, or returns. If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fails to replace or return the goods within the time limit required by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it shall also bear the liability for breach of contract in accordance with the provisions of Paragraph (1) of this Clause. The delay period shall commence from the originally agreed delivery date;</w:t>
            </w:r>
          </w:p>
          <w:p w14:paraId="6F523DB6">
            <w:pPr>
              <w:keepNext w:val="0"/>
              <w:keepLines w:val="0"/>
              <w:widowControl/>
              <w:numPr>
                <w:ilvl w:val="-1"/>
                <w:numId w:val="0"/>
              </w:numPr>
              <w:suppressLineNumbers w:val="0"/>
              <w:spacing w:before="0" w:beforeAutospacing="0" w:after="0" w:afterAutospacing="0" w:line="440" w:lineRule="exact"/>
              <w:ind w:left="0" w:leftChars="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2"/>
                <w:highlight w:val="none"/>
                <w:lang w:val="en-GB"/>
              </w:rPr>
              <w:t xml:space="preserve">d. Accept the defective goods on a reserved basis.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waives its right to part or all of the remaining balance for the goods, which shall be allocated as compensation to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for such reserved acceptance. The exact amount of the waived remaining balance shall be determined at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’s sole discretion. If the waived part or all of the remaining balance is insufficient to cover the losses suffered by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bear separate liability for additional compensation to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w:t>
            </w:r>
          </w:p>
        </w:tc>
      </w:tr>
      <w:tr w14:paraId="0CF5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0" w:hRule="atLeast"/>
        </w:trPr>
        <w:tc>
          <w:tcPr>
            <w:tcW w:w="503" w:type="pct"/>
            <w:vMerge w:val="continue"/>
            <w:noWrap w:val="0"/>
            <w:vAlign w:val="center"/>
          </w:tcPr>
          <w:p w14:paraId="3852CEDA">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kern w:val="2"/>
                <w:sz w:val="21"/>
                <w:szCs w:val="21"/>
                <w:highlight w:val="none"/>
                <w:lang w:val="en-GB" w:eastAsia="zh-CN" w:bidi="ar-SA"/>
              </w:rPr>
            </w:pPr>
          </w:p>
        </w:tc>
        <w:tc>
          <w:tcPr>
            <w:tcW w:w="1418" w:type="pct"/>
            <w:vMerge w:val="continue"/>
            <w:noWrap w:val="0"/>
            <w:vAlign w:val="center"/>
          </w:tcPr>
          <w:p w14:paraId="1C5B1844">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p>
        </w:tc>
        <w:tc>
          <w:tcPr>
            <w:tcW w:w="3077" w:type="pct"/>
            <w:shd w:val="clear" w:color="auto" w:fill="auto"/>
            <w:noWrap w:val="0"/>
            <w:vAlign w:val="top"/>
          </w:tcPr>
          <w:p w14:paraId="55B4CE06">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(4) Under any of the following circumstances,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shall have the right to terminate the contract.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refund all payments previously made by the entrusted foreign trade agency on behalf of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and pay liquidated damages equal to 10% of the total agreement value to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If the liquidated damages are insufficient to cover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’s losses,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pay additional compensation to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The specific circumstances are as follows:</w:t>
            </w:r>
          </w:p>
          <w:p w14:paraId="754AE7BE">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a. The goods delivered by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infringe upon the intellectual property rights, portrait rights, technical secrets, trade secrets, or any other rights and interests of a third party;</w:t>
            </w:r>
          </w:p>
          <w:p w14:paraId="1B60AEAF">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b.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’s delivery of the goods, or the completion of installation and commissioning to a satisfactory standard, is delayed by more than 60 days;</w:t>
            </w:r>
          </w:p>
          <w:p w14:paraId="5ADFBF39">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c.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’s performance of its obligations fails to comply with the agreement, and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fails to rectify the non-compliance within a reasonable time limit after being notified by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w:t>
            </w:r>
          </w:p>
          <w:p w14:paraId="45863A43">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bCs/>
                <w:color w:val="FF0000"/>
                <w:sz w:val="22"/>
                <w:highlight w:val="none"/>
                <w:lang w:val="en-GB"/>
              </w:rPr>
            </w:pPr>
            <w:r>
              <w:rPr>
                <w:rFonts w:hint="default" w:ascii="Times New Roman" w:hAnsi="Times New Roman" w:eastAsia="宋体" w:cs="Times New Roman"/>
                <w:b/>
                <w:bCs/>
                <w:color w:val="FF0000"/>
                <w:sz w:val="22"/>
                <w:highlight w:val="none"/>
                <w:lang w:val="en-GB"/>
              </w:rPr>
              <w:t xml:space="preserve">d. Without the prior written consent of the </w:t>
            </w:r>
            <w:r>
              <w:rPr>
                <w:rFonts w:hint="default" w:ascii="Times New Roman" w:hAnsi="Times New Roman" w:eastAsia="宋体" w:cs="Times New Roman"/>
                <w:b/>
                <w:bCs/>
                <w:color w:val="FF0000"/>
                <w:sz w:val="22"/>
                <w:highlight w:val="none"/>
                <w:lang w:val="en-GB" w:eastAsia="zh-CN"/>
              </w:rPr>
              <w:t>tenderee</w:t>
            </w:r>
            <w:r>
              <w:rPr>
                <w:rFonts w:hint="default" w:ascii="Times New Roman" w:hAnsi="Times New Roman" w:eastAsia="宋体" w:cs="Times New Roman"/>
                <w:b/>
                <w:bCs/>
                <w:color w:val="FF0000"/>
                <w:sz w:val="22"/>
                <w:highlight w:val="none"/>
                <w:lang w:val="en-GB"/>
              </w:rPr>
              <w:t xml:space="preserv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assigns its rights or obligations under this Project, or subcontracts or delegates the services under this Project;</w:t>
            </w:r>
          </w:p>
          <w:p w14:paraId="542FB100">
            <w:pPr>
              <w:keepNext w:val="0"/>
              <w:keepLines w:val="0"/>
              <w:widowControl/>
              <w:numPr>
                <w:ilvl w:val="-1"/>
                <w:numId w:val="0"/>
              </w:numPr>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2"/>
                <w:highlight w:val="none"/>
                <w:lang w:val="en-GB"/>
              </w:rPr>
              <w:t>e. Other circumstances stipulated by applicable laws.</w:t>
            </w:r>
          </w:p>
        </w:tc>
      </w:tr>
      <w:tr w14:paraId="4441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03" w:type="pct"/>
            <w:vMerge w:val="continue"/>
            <w:noWrap w:val="0"/>
            <w:vAlign w:val="center"/>
          </w:tcPr>
          <w:p w14:paraId="440CB388">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kern w:val="2"/>
                <w:sz w:val="21"/>
                <w:szCs w:val="21"/>
                <w:highlight w:val="none"/>
                <w:lang w:val="en-GB" w:eastAsia="zh-CN" w:bidi="ar-SA"/>
              </w:rPr>
            </w:pPr>
          </w:p>
        </w:tc>
        <w:tc>
          <w:tcPr>
            <w:tcW w:w="1418" w:type="pct"/>
            <w:vMerge w:val="continue"/>
            <w:noWrap w:val="0"/>
            <w:vAlign w:val="center"/>
          </w:tcPr>
          <w:p w14:paraId="568E4535">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p>
        </w:tc>
        <w:tc>
          <w:tcPr>
            <w:tcW w:w="3077" w:type="pct"/>
            <w:noWrap w:val="0"/>
            <w:vAlign w:val="top"/>
          </w:tcPr>
          <w:p w14:paraId="42714984">
            <w:pPr>
              <w:keepNext w:val="0"/>
              <w:keepLines w:val="0"/>
              <w:widowControl/>
              <w:numPr>
                <w:ilvl w:val="0"/>
                <w:numId w:val="0"/>
              </w:numPr>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2"/>
                <w:highlight w:val="none"/>
                <w:lang w:val="en-GB"/>
              </w:rPr>
              <w:t>(5) For the purposes of this Project, “losses” shall include direct economic losses, the expected profits obtainable upon the performance of this Agreement, and relevant legal costs such as reasonable investigation fees, appraisal fees, notarization fees, arbitration fees, litigation fees, travel expenses, attorney’s fees, and other related expenses.</w:t>
            </w:r>
          </w:p>
        </w:tc>
      </w:tr>
      <w:tr w14:paraId="5680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03" w:type="pct"/>
            <w:vMerge w:val="continue"/>
            <w:noWrap w:val="0"/>
            <w:vAlign w:val="center"/>
          </w:tcPr>
          <w:p w14:paraId="772703DC">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val="0"/>
                <w:bCs w:val="0"/>
                <w:color w:val="auto"/>
                <w:kern w:val="2"/>
                <w:sz w:val="21"/>
                <w:szCs w:val="21"/>
                <w:highlight w:val="none"/>
                <w:lang w:val="en-GB" w:eastAsia="zh-CN" w:bidi="ar-SA"/>
              </w:rPr>
            </w:pPr>
          </w:p>
        </w:tc>
        <w:tc>
          <w:tcPr>
            <w:tcW w:w="1418" w:type="pct"/>
            <w:vMerge w:val="continue"/>
            <w:noWrap w:val="0"/>
            <w:vAlign w:val="center"/>
          </w:tcPr>
          <w:p w14:paraId="06D7069D">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p>
        </w:tc>
        <w:tc>
          <w:tcPr>
            <w:tcW w:w="3077" w:type="pct"/>
            <w:noWrap w:val="0"/>
            <w:vAlign w:val="top"/>
          </w:tcPr>
          <w:p w14:paraId="1EE53C27">
            <w:pPr>
              <w:keepNext w:val="0"/>
              <w:keepLines w:val="0"/>
              <w:widowControl/>
              <w:suppressLineNumbers w:val="0"/>
              <w:spacing w:before="0" w:beforeAutospacing="0" w:after="0" w:afterAutospacing="0" w:line="240" w:lineRule="auto"/>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2"/>
                <w:highlight w:val="none"/>
                <w:lang w:val="en-GB"/>
              </w:rPr>
              <w:t xml:space="preserve">(6)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agrees that, if the payment for the goods under this Project is made by the foreign trade agency to a party other than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be obligated to compel such other party to assume the same responsibility for refunding the goods payment as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’s refund obligation stipulated in this Project. Furthermore, the </w:t>
            </w:r>
            <w:r>
              <w:rPr>
                <w:rFonts w:hint="default" w:ascii="Times New Roman" w:hAnsi="Times New Roman" w:eastAsia="宋体" w:cs="Times New Roman"/>
                <w:b/>
                <w:bCs/>
                <w:color w:val="FF0000"/>
                <w:sz w:val="22"/>
                <w:highlight w:val="none"/>
                <w:lang w:val="en-GB" w:eastAsia="zh-CN"/>
              </w:rPr>
              <w:t>bid winner</w:t>
            </w:r>
            <w:r>
              <w:rPr>
                <w:rFonts w:hint="default" w:ascii="Times New Roman" w:hAnsi="Times New Roman" w:eastAsia="宋体" w:cs="Times New Roman"/>
                <w:b/>
                <w:bCs/>
                <w:color w:val="FF0000"/>
                <w:sz w:val="22"/>
                <w:highlight w:val="none"/>
                <w:lang w:val="en-GB"/>
              </w:rPr>
              <w:t xml:space="preserve"> shall bear joint and several liability for the refund obligation of such other party.</w:t>
            </w:r>
          </w:p>
        </w:tc>
      </w:tr>
      <w:tr w14:paraId="25DA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503" w:type="pct"/>
            <w:noWrap w:val="0"/>
            <w:vAlign w:val="center"/>
          </w:tcPr>
          <w:p w14:paraId="34C25D23">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b w:val="0"/>
                <w:bCs w:val="0"/>
                <w:color w:val="auto"/>
                <w:kern w:val="2"/>
                <w:sz w:val="21"/>
                <w:szCs w:val="21"/>
                <w:highlight w:val="none"/>
                <w:lang w:val="en-US" w:eastAsia="zh-CN" w:bidi="ar-SA"/>
              </w:rPr>
            </w:pPr>
            <w:r>
              <w:rPr>
                <w:rFonts w:hint="default" w:ascii="Times New Roman" w:hAnsi="Times New Roman" w:eastAsia="宋体" w:cs="Times New Roman"/>
                <w:b w:val="0"/>
                <w:bCs w:val="0"/>
                <w:color w:val="auto"/>
                <w:kern w:val="2"/>
                <w:sz w:val="21"/>
                <w:szCs w:val="21"/>
                <w:highlight w:val="none"/>
                <w:lang w:val="en-US" w:eastAsia="zh-CN" w:bidi="ar-SA"/>
              </w:rPr>
              <w:t>9</w:t>
            </w:r>
          </w:p>
        </w:tc>
        <w:tc>
          <w:tcPr>
            <w:tcW w:w="1418" w:type="pct"/>
            <w:noWrap w:val="0"/>
            <w:vAlign w:val="center"/>
          </w:tcPr>
          <w:p w14:paraId="6BC9FA39">
            <w:pPr>
              <w:keepNext w:val="0"/>
              <w:keepLines w:val="0"/>
              <w:widowControl/>
              <w:suppressLineNumbers w:val="0"/>
              <w:spacing w:before="0" w:beforeAutospacing="0" w:after="0" w:afterAutospacing="0" w:line="440" w:lineRule="exact"/>
              <w:ind w:left="0" w:right="0" w:firstLine="422" w:firstLineChars="20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sz w:val="21"/>
                <w:szCs w:val="21"/>
                <w:highlight w:val="none"/>
              </w:rPr>
              <w:t>*Other requirements</w:t>
            </w:r>
          </w:p>
        </w:tc>
        <w:tc>
          <w:tcPr>
            <w:tcW w:w="3077" w:type="pct"/>
            <w:noWrap w:val="0"/>
            <w:vAlign w:val="top"/>
          </w:tcPr>
          <w:p w14:paraId="23F227B9">
            <w:pPr>
              <w:keepNext w:val="0"/>
              <w:keepLines w:val="0"/>
              <w:widowControl/>
              <w:suppressLineNumbers w:val="0"/>
              <w:spacing w:before="0" w:beforeAutospacing="0" w:after="0" w:afterAutospacing="0" w:line="440" w:lineRule="exact"/>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sz w:val="21"/>
                <w:szCs w:val="21"/>
                <w:highlight w:val="none"/>
              </w:rPr>
              <w:t xml:space="preserve">The bidder shall commit that its technical response is true. After the bid winning result is generated, the </w:t>
            </w:r>
            <w:r>
              <w:rPr>
                <w:rFonts w:hint="default" w:ascii="Times New Roman" w:hAnsi="Times New Roman" w:eastAsia="宋体" w:cs="Times New Roman"/>
                <w:b/>
                <w:bCs/>
                <w:color w:val="FF0000"/>
                <w:sz w:val="21"/>
                <w:szCs w:val="21"/>
                <w:highlight w:val="none"/>
                <w:lang w:eastAsia="zh-CN"/>
              </w:rPr>
              <w:t>tenderee</w:t>
            </w:r>
            <w:r>
              <w:rPr>
                <w:rFonts w:hint="default" w:ascii="Times New Roman" w:hAnsi="Times New Roman" w:eastAsia="宋体" w:cs="Times New Roman"/>
                <w:b/>
                <w:bCs/>
                <w:color w:val="FF0000"/>
                <w:sz w:val="21"/>
                <w:szCs w:val="21"/>
                <w:highlight w:val="none"/>
              </w:rPr>
              <w:t xml:space="preserve"> has the right to request the </w:t>
            </w:r>
            <w:r>
              <w:rPr>
                <w:rFonts w:hint="default" w:ascii="Times New Roman" w:hAnsi="Times New Roman" w:eastAsia="宋体" w:cs="Times New Roman"/>
                <w:b/>
                <w:bCs/>
                <w:color w:val="FF0000"/>
                <w:sz w:val="21"/>
                <w:szCs w:val="21"/>
                <w:highlight w:val="none"/>
                <w:lang w:eastAsia="zh-CN"/>
              </w:rPr>
              <w:t>bid winner</w:t>
            </w:r>
            <w:r>
              <w:rPr>
                <w:rFonts w:hint="default" w:ascii="Times New Roman" w:hAnsi="Times New Roman" w:eastAsia="宋体" w:cs="Times New Roman"/>
                <w:b/>
                <w:bCs/>
                <w:color w:val="FF0000"/>
                <w:sz w:val="21"/>
                <w:szCs w:val="21"/>
                <w:highlight w:val="none"/>
              </w:rPr>
              <w:t xml:space="preserve"> to provide samples of the bid products for testing. If the test result of the equipment submitted by the </w:t>
            </w:r>
            <w:r>
              <w:rPr>
                <w:rFonts w:hint="default" w:ascii="Times New Roman" w:hAnsi="Times New Roman" w:eastAsia="宋体" w:cs="Times New Roman"/>
                <w:b/>
                <w:bCs/>
                <w:color w:val="FF0000"/>
                <w:sz w:val="21"/>
                <w:szCs w:val="21"/>
                <w:highlight w:val="none"/>
                <w:lang w:eastAsia="zh-CN"/>
              </w:rPr>
              <w:t>bid winner</w:t>
            </w:r>
            <w:r>
              <w:rPr>
                <w:rFonts w:hint="default" w:ascii="Times New Roman" w:hAnsi="Times New Roman" w:eastAsia="宋体" w:cs="Times New Roman"/>
                <w:b/>
                <w:bCs/>
                <w:color w:val="FF0000"/>
                <w:sz w:val="21"/>
                <w:szCs w:val="21"/>
                <w:highlight w:val="none"/>
              </w:rPr>
              <w:t xml:space="preserve"> is inconsistent with the response in the </w:t>
            </w:r>
            <w:r>
              <w:rPr>
                <w:rFonts w:hint="default" w:ascii="Times New Roman" w:hAnsi="Times New Roman" w:eastAsia="宋体" w:cs="Times New Roman"/>
                <w:b/>
                <w:bCs/>
                <w:color w:val="FF0000"/>
                <w:sz w:val="21"/>
                <w:szCs w:val="21"/>
                <w:highlight w:val="none"/>
                <w:lang w:eastAsia="zh-CN"/>
              </w:rPr>
              <w:t>bid winner</w:t>
            </w:r>
            <w:r>
              <w:rPr>
                <w:rFonts w:hint="default" w:ascii="Times New Roman" w:hAnsi="Times New Roman" w:eastAsia="宋体" w:cs="Times New Roman"/>
                <w:b/>
                <w:bCs/>
                <w:color w:val="FF0000"/>
                <w:sz w:val="21"/>
                <w:szCs w:val="21"/>
                <w:highlight w:val="none"/>
              </w:rPr>
              <w:t xml:space="preserve">’s bid document, the </w:t>
            </w:r>
            <w:r>
              <w:rPr>
                <w:rFonts w:hint="default" w:ascii="Times New Roman" w:hAnsi="Times New Roman" w:eastAsia="宋体" w:cs="Times New Roman"/>
                <w:b/>
                <w:bCs/>
                <w:color w:val="FF0000"/>
                <w:sz w:val="21"/>
                <w:szCs w:val="21"/>
                <w:highlight w:val="none"/>
                <w:lang w:eastAsia="zh-CN"/>
              </w:rPr>
              <w:t>tenderee</w:t>
            </w:r>
            <w:r>
              <w:rPr>
                <w:rFonts w:hint="default" w:ascii="Times New Roman" w:hAnsi="Times New Roman" w:eastAsia="宋体" w:cs="Times New Roman"/>
                <w:b/>
                <w:bCs/>
                <w:color w:val="FF0000"/>
                <w:sz w:val="21"/>
                <w:szCs w:val="21"/>
                <w:highlight w:val="none"/>
              </w:rPr>
              <w:t xml:space="preserve"> shall refer the matter to the relevant competent authorities for handling and punishment of the </w:t>
            </w:r>
            <w:r>
              <w:rPr>
                <w:rFonts w:hint="default" w:ascii="Times New Roman" w:hAnsi="Times New Roman" w:eastAsia="宋体" w:cs="Times New Roman"/>
                <w:b/>
                <w:bCs/>
                <w:color w:val="FF0000"/>
                <w:sz w:val="21"/>
                <w:szCs w:val="21"/>
                <w:highlight w:val="none"/>
                <w:lang w:eastAsia="zh-CN"/>
              </w:rPr>
              <w:t>bid winner</w:t>
            </w:r>
            <w:r>
              <w:rPr>
                <w:rFonts w:hint="default" w:ascii="Times New Roman" w:hAnsi="Times New Roman" w:eastAsia="宋体" w:cs="Times New Roman"/>
                <w:b/>
                <w:bCs/>
                <w:color w:val="FF0000"/>
                <w:sz w:val="21"/>
                <w:szCs w:val="21"/>
                <w:highlight w:val="none"/>
              </w:rPr>
              <w:t>’s false response, and investigate the corresponding liability. The bid</w:t>
            </w:r>
            <w:r>
              <w:rPr>
                <w:rFonts w:hint="default" w:ascii="Times New Roman" w:hAnsi="Times New Roman" w:eastAsia="宋体" w:cs="Times New Roman"/>
                <w:b/>
                <w:bCs/>
                <w:color w:val="FF0000"/>
                <w:sz w:val="21"/>
                <w:szCs w:val="21"/>
                <w:highlight w:val="none"/>
                <w:lang w:val="en-US" w:eastAsia="zh-CN"/>
              </w:rPr>
              <w:t xml:space="preserve"> winn</w:t>
            </w:r>
            <w:r>
              <w:rPr>
                <w:rFonts w:hint="default" w:ascii="Times New Roman" w:hAnsi="Times New Roman" w:eastAsia="宋体" w:cs="Times New Roman"/>
                <w:b/>
                <w:bCs/>
                <w:color w:val="FF0000"/>
                <w:sz w:val="21"/>
                <w:szCs w:val="21"/>
                <w:highlight w:val="none"/>
              </w:rPr>
              <w:t>er shall bear the resulting testing fees and the loss of construction period delay costs.</w:t>
            </w:r>
            <w:r>
              <w:rPr>
                <w:rFonts w:hint="default" w:ascii="Times New Roman" w:hAnsi="Times New Roman" w:eastAsia="宋体" w:cs="Times New Roman"/>
                <w:b/>
                <w:bCs/>
                <w:color w:val="FF0000"/>
                <w:sz w:val="21"/>
                <w:szCs w:val="21"/>
                <w:highlight w:val="yellow"/>
              </w:rPr>
              <w:t xml:space="preserve"> (A commitment letter </w:t>
            </w:r>
            <w:r>
              <w:rPr>
                <w:rFonts w:hint="default" w:ascii="Times New Roman" w:hAnsi="Times New Roman" w:eastAsia="宋体" w:cs="Times New Roman"/>
                <w:b/>
                <w:bCs/>
                <w:color w:val="FF0000"/>
                <w:sz w:val="21"/>
                <w:szCs w:val="21"/>
                <w:highlight w:val="yellow"/>
                <w:lang w:val="en-US" w:eastAsia="zh-CN"/>
              </w:rPr>
              <w:t xml:space="preserve">of customized format </w:t>
            </w:r>
            <w:r>
              <w:rPr>
                <w:rFonts w:hint="default" w:ascii="Times New Roman" w:hAnsi="Times New Roman" w:eastAsia="宋体" w:cs="Times New Roman"/>
                <w:b/>
                <w:bCs/>
                <w:color w:val="FF0000"/>
                <w:sz w:val="21"/>
                <w:szCs w:val="21"/>
                <w:highlight w:val="yellow"/>
              </w:rPr>
              <w:t>shall be provided.)</w:t>
            </w:r>
          </w:p>
        </w:tc>
      </w:tr>
    </w:tbl>
    <w:p w14:paraId="6FC29E52">
      <w:pPr>
        <w:spacing w:line="440" w:lineRule="exact"/>
        <w:ind w:firstLine="0" w:firstLineChars="0"/>
        <w:jc w:val="both"/>
        <w:rPr>
          <w:rFonts w:hint="default" w:ascii="Times New Roman" w:hAnsi="Times New Roman" w:eastAsia="宋体" w:cs="Times New Roman"/>
          <w:b w:val="0"/>
          <w:bCs w:val="0"/>
          <w:color w:val="auto"/>
          <w:kern w:val="2"/>
          <w:sz w:val="22"/>
          <w:szCs w:val="22"/>
          <w:highlight w:val="none"/>
          <w:lang w:val="en-GB" w:eastAsia="zh-CN" w:bidi="ar-SA"/>
        </w:rPr>
      </w:pPr>
      <w:r>
        <w:rPr>
          <w:rFonts w:hint="default" w:ascii="Times New Roman" w:hAnsi="Times New Roman" w:eastAsia="宋体" w:cs="Times New Roman"/>
          <w:b w:val="0"/>
          <w:bCs w:val="0"/>
          <w:color w:val="auto"/>
          <w:kern w:val="2"/>
          <w:sz w:val="22"/>
          <w:szCs w:val="22"/>
          <w:highlight w:val="none"/>
          <w:lang w:val="en-GB" w:eastAsia="zh-CN" w:bidi="ar-SA"/>
        </w:rPr>
        <w:t>The terms marked with an asterisk ("*") are important commercial terms, and any non-compliance or negative deviation from them will result in the invalidity of the bid. Others are general parameters. Failure to provide the relevant materials required by the commercial terms or the inconsistency with the bidder's response reflected in the provided materials is deemed as a negative deviation.</w:t>
      </w:r>
    </w:p>
    <w:p w14:paraId="4237F39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highlight w:val="none"/>
        </w:rPr>
      </w:pPr>
    </w:p>
    <w:p w14:paraId="38B5875D">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368731F7">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914D94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381BF3C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3A56B64E">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36955A44">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3787123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2357B44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1A4DE1D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7A7F273F">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5B0095E6">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1942BDA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2FA5012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7F113104">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59604B7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5495AB9E">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7271F68">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704A9298">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F06C179">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65E93F29">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4121637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413D745F">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6EB7BFC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6763DE8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3D4EF17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695E28C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490331E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5DA2DE2">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5AC4D92">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74F63F2F">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7655CB84">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163B44C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6DAA9E17">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CA812F2">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5688C6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461D389C">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2DD07B6E">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481E4E6E">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EDE21FD">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78DA4938">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highlight w:val="none"/>
        </w:rPr>
      </w:pPr>
    </w:p>
    <w:p w14:paraId="0D6F2BC3">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b/>
          <w:bCs/>
          <w:szCs w:val="24"/>
          <w:highlight w:val="none"/>
        </w:rPr>
      </w:pPr>
      <w:r>
        <w:rPr>
          <w:rFonts w:ascii="Times New Roman" w:hAnsi="Times New Roman" w:cs="Times New Roman"/>
          <w:b/>
          <w:bCs/>
          <w:highlight w:val="none"/>
        </w:rPr>
        <w:t>Format IV-2 Form of Bid Opening List</w:t>
      </w:r>
    </w:p>
    <w:p w14:paraId="3B7D11A5">
      <w:pPr>
        <w:keepNext w:val="0"/>
        <w:keepLines w:val="0"/>
        <w:pageBreakBefore w:val="0"/>
        <w:kinsoku/>
        <w:wordWrap/>
        <w:overflowPunct/>
        <w:topLinePunct w:val="0"/>
        <w:bidi w:val="0"/>
        <w:snapToGrid/>
        <w:spacing w:beforeAutospacing="0" w:afterAutospacing="0" w:line="240" w:lineRule="auto"/>
        <w:jc w:val="center"/>
        <w:textAlignment w:val="auto"/>
        <w:rPr>
          <w:rFonts w:ascii="Times New Roman" w:hAnsi="Times New Roman" w:eastAsia="宋体" w:cs="Times New Roman"/>
          <w:b/>
          <w:bCs/>
          <w:szCs w:val="21"/>
          <w:highlight w:val="none"/>
        </w:rPr>
      </w:pPr>
      <w:r>
        <w:rPr>
          <w:rFonts w:ascii="Times New Roman" w:hAnsi="Times New Roman" w:cs="Times New Roman"/>
          <w:b/>
          <w:bCs/>
          <w:highlight w:val="none"/>
        </w:rPr>
        <w:t>Bid Opening List</w:t>
      </w:r>
    </w:p>
    <w:p w14:paraId="02513B6C">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highlight w:val="none"/>
        </w:rPr>
      </w:pPr>
    </w:p>
    <w:p w14:paraId="6A1152BB">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highlight w:val="none"/>
          <w:u w:val="single"/>
        </w:rPr>
      </w:pPr>
      <w:r>
        <w:rPr>
          <w:rFonts w:ascii="Times New Roman" w:hAnsi="Times New Roman" w:cs="Times New Roman"/>
          <w:highlight w:val="none"/>
        </w:rPr>
        <w:t>Name of bidder:</w:t>
      </w:r>
      <w:r>
        <w:rPr>
          <w:rFonts w:ascii="Times New Roman" w:hAnsi="Times New Roman" w:cs="Times New Roman"/>
          <w:highlight w:val="none"/>
          <w:u w:val="single"/>
        </w:rPr>
        <w:t xml:space="preserve">            </w:t>
      </w:r>
      <w:r>
        <w:rPr>
          <w:rFonts w:ascii="Times New Roman" w:hAnsi="Times New Roman" w:cs="Times New Roman"/>
          <w:highlight w:val="none"/>
        </w:rPr>
        <w:t xml:space="preserve"> Country / Region:</w:t>
      </w:r>
      <w:r>
        <w:rPr>
          <w:rFonts w:ascii="Times New Roman" w:hAnsi="Times New Roman" w:cs="Times New Roman"/>
          <w:highlight w:val="none"/>
          <w:u w:val="single"/>
        </w:rPr>
        <w:t xml:space="preserve">        </w:t>
      </w:r>
      <w:r>
        <w:rPr>
          <w:rFonts w:ascii="Times New Roman" w:hAnsi="Times New Roman" w:cs="Times New Roman"/>
          <w:highlight w:val="none"/>
        </w:rPr>
        <w:t>Tender No.:</w:t>
      </w:r>
      <w:r>
        <w:rPr>
          <w:rFonts w:ascii="Times New Roman" w:hAnsi="Times New Roman" w:cs="Times New Roman"/>
          <w:highlight w:val="none"/>
          <w:u w:val="single"/>
        </w:rPr>
        <w:t xml:space="preserve">             </w:t>
      </w:r>
      <w:r>
        <w:rPr>
          <w:rFonts w:ascii="Times New Roman" w:hAnsi="Times New Roman" w:cs="Times New Roman"/>
          <w:highlight w:val="none"/>
        </w:rPr>
        <w:t xml:space="preserve"> Subcontract No.:</w:t>
      </w:r>
      <w:r>
        <w:rPr>
          <w:rFonts w:ascii="Times New Roman" w:hAnsi="Times New Roman" w:cs="Times New Roman"/>
          <w:highlight w:val="none"/>
          <w:u w:val="single"/>
        </w:rPr>
        <w:t xml:space="preserve">       </w:t>
      </w:r>
    </w:p>
    <w:tbl>
      <w:tblPr>
        <w:tblStyle w:val="1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599"/>
        <w:gridCol w:w="992"/>
        <w:gridCol w:w="731"/>
        <w:gridCol w:w="1100"/>
        <w:gridCol w:w="829"/>
        <w:gridCol w:w="731"/>
        <w:gridCol w:w="772"/>
        <w:gridCol w:w="690"/>
        <w:gridCol w:w="731"/>
        <w:gridCol w:w="682"/>
      </w:tblGrid>
      <w:tr w14:paraId="68E9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vAlign w:val="center"/>
          </w:tcPr>
          <w:p w14:paraId="097CCEB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Serial number</w:t>
            </w:r>
          </w:p>
        </w:tc>
        <w:tc>
          <w:tcPr>
            <w:tcW w:w="451" w:type="pct"/>
            <w:vAlign w:val="center"/>
          </w:tcPr>
          <w:p w14:paraId="221FB96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Goods name</w:t>
            </w:r>
          </w:p>
        </w:tc>
        <w:tc>
          <w:tcPr>
            <w:tcW w:w="467" w:type="pct"/>
            <w:vAlign w:val="center"/>
          </w:tcPr>
          <w:p w14:paraId="7FE18BD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Specification and model</w:t>
            </w:r>
          </w:p>
        </w:tc>
        <w:tc>
          <w:tcPr>
            <w:tcW w:w="358" w:type="pct"/>
            <w:vAlign w:val="center"/>
          </w:tcPr>
          <w:p w14:paraId="40B9748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Quantity</w:t>
            </w:r>
          </w:p>
        </w:tc>
        <w:tc>
          <w:tcPr>
            <w:tcW w:w="640" w:type="pct"/>
            <w:vAlign w:val="center"/>
          </w:tcPr>
          <w:p w14:paraId="49DDA4E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Manufacturer's name and nationality / region</w:t>
            </w:r>
          </w:p>
        </w:tc>
        <w:tc>
          <w:tcPr>
            <w:tcW w:w="576" w:type="pct"/>
            <w:vAlign w:val="center"/>
          </w:tcPr>
          <w:p w14:paraId="6F9AA15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szCs w:val="21"/>
                <w:highlight w:val="none"/>
              </w:rPr>
            </w:pPr>
            <w:r>
              <w:rPr>
                <w:rFonts w:hint="default" w:ascii="Times New Roman" w:hAnsi="Times New Roman" w:cs="Times New Roman"/>
                <w:highlight w:val="none"/>
              </w:rPr>
              <w:t>Price conditions (tax included / exempt)</w:t>
            </w:r>
          </w:p>
        </w:tc>
        <w:tc>
          <w:tcPr>
            <w:tcW w:w="475" w:type="pct"/>
            <w:vAlign w:val="center"/>
          </w:tcPr>
          <w:p w14:paraId="19DAFDB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Bidding currency</w:t>
            </w:r>
          </w:p>
        </w:tc>
        <w:tc>
          <w:tcPr>
            <w:tcW w:w="364" w:type="pct"/>
            <w:vAlign w:val="center"/>
          </w:tcPr>
          <w:p w14:paraId="46E5754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Bidding quotation</w:t>
            </w:r>
          </w:p>
        </w:tc>
        <w:tc>
          <w:tcPr>
            <w:tcW w:w="418" w:type="pct"/>
            <w:vAlign w:val="center"/>
          </w:tcPr>
          <w:p w14:paraId="7077FA3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Bidding security</w:t>
            </w:r>
          </w:p>
        </w:tc>
        <w:tc>
          <w:tcPr>
            <w:tcW w:w="452" w:type="pct"/>
            <w:vAlign w:val="center"/>
          </w:tcPr>
          <w:p w14:paraId="423DC16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Delivery date</w:t>
            </w:r>
          </w:p>
        </w:tc>
        <w:tc>
          <w:tcPr>
            <w:tcW w:w="439" w:type="pct"/>
            <w:vAlign w:val="center"/>
          </w:tcPr>
          <w:p w14:paraId="40870B5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Remark</w:t>
            </w:r>
          </w:p>
        </w:tc>
      </w:tr>
      <w:tr w14:paraId="269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vAlign w:val="center"/>
          </w:tcPr>
          <w:p w14:paraId="55E8E29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51" w:type="pct"/>
            <w:vAlign w:val="center"/>
          </w:tcPr>
          <w:p w14:paraId="639FD87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67" w:type="pct"/>
            <w:vAlign w:val="center"/>
          </w:tcPr>
          <w:p w14:paraId="3C217EB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358" w:type="pct"/>
            <w:vAlign w:val="center"/>
          </w:tcPr>
          <w:p w14:paraId="3A91615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640" w:type="pct"/>
            <w:vAlign w:val="center"/>
          </w:tcPr>
          <w:p w14:paraId="7B28345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576" w:type="pct"/>
            <w:vAlign w:val="center"/>
          </w:tcPr>
          <w:p w14:paraId="426794F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75" w:type="pct"/>
            <w:vAlign w:val="center"/>
          </w:tcPr>
          <w:p w14:paraId="1ED1FDB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364" w:type="pct"/>
            <w:vAlign w:val="center"/>
          </w:tcPr>
          <w:p w14:paraId="05836DF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18" w:type="pct"/>
            <w:vAlign w:val="center"/>
          </w:tcPr>
          <w:p w14:paraId="692B526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52" w:type="pct"/>
            <w:vAlign w:val="center"/>
          </w:tcPr>
          <w:p w14:paraId="37076AF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39" w:type="pct"/>
            <w:vAlign w:val="center"/>
          </w:tcPr>
          <w:p w14:paraId="2FA2320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r>
      <w:tr w14:paraId="4441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vAlign w:val="center"/>
          </w:tcPr>
          <w:p w14:paraId="5C032FC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51" w:type="pct"/>
            <w:vAlign w:val="center"/>
          </w:tcPr>
          <w:p w14:paraId="1747556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67" w:type="pct"/>
            <w:vAlign w:val="center"/>
          </w:tcPr>
          <w:p w14:paraId="2756AD0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358" w:type="pct"/>
            <w:vAlign w:val="center"/>
          </w:tcPr>
          <w:p w14:paraId="5FC4314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640" w:type="pct"/>
            <w:vAlign w:val="center"/>
          </w:tcPr>
          <w:p w14:paraId="76804D9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576" w:type="pct"/>
            <w:vAlign w:val="center"/>
          </w:tcPr>
          <w:p w14:paraId="237A744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75" w:type="pct"/>
            <w:vAlign w:val="center"/>
          </w:tcPr>
          <w:p w14:paraId="395E8C6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364" w:type="pct"/>
            <w:vAlign w:val="center"/>
          </w:tcPr>
          <w:p w14:paraId="42F44CC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18" w:type="pct"/>
            <w:vAlign w:val="center"/>
          </w:tcPr>
          <w:p w14:paraId="5809EC3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52" w:type="pct"/>
            <w:vAlign w:val="center"/>
          </w:tcPr>
          <w:p w14:paraId="59C6E07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c>
          <w:tcPr>
            <w:tcW w:w="439" w:type="pct"/>
            <w:vAlign w:val="center"/>
          </w:tcPr>
          <w:p w14:paraId="422D0AB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p>
        </w:tc>
      </w:tr>
      <w:tr w14:paraId="4080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vAlign w:val="center"/>
          </w:tcPr>
          <w:p w14:paraId="73F6FFB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51" w:type="pct"/>
            <w:vAlign w:val="center"/>
          </w:tcPr>
          <w:p w14:paraId="532DBD9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67" w:type="pct"/>
            <w:vAlign w:val="center"/>
          </w:tcPr>
          <w:p w14:paraId="6789B6F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358" w:type="pct"/>
            <w:vAlign w:val="center"/>
          </w:tcPr>
          <w:p w14:paraId="0E05091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640" w:type="pct"/>
            <w:vAlign w:val="center"/>
          </w:tcPr>
          <w:p w14:paraId="185754F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76" w:type="pct"/>
            <w:vAlign w:val="center"/>
          </w:tcPr>
          <w:p w14:paraId="00659B0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75" w:type="pct"/>
            <w:vAlign w:val="center"/>
          </w:tcPr>
          <w:p w14:paraId="274598F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364" w:type="pct"/>
            <w:vAlign w:val="center"/>
          </w:tcPr>
          <w:p w14:paraId="3BA174B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18" w:type="pct"/>
            <w:vAlign w:val="center"/>
          </w:tcPr>
          <w:p w14:paraId="38B07AC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52" w:type="pct"/>
            <w:vAlign w:val="center"/>
          </w:tcPr>
          <w:p w14:paraId="0FFB034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9" w:type="pct"/>
            <w:vAlign w:val="center"/>
          </w:tcPr>
          <w:p w14:paraId="5EE09BD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6F73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vAlign w:val="center"/>
          </w:tcPr>
          <w:p w14:paraId="50C6D6B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51" w:type="pct"/>
            <w:vAlign w:val="center"/>
          </w:tcPr>
          <w:p w14:paraId="1A07FDB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67" w:type="pct"/>
            <w:vAlign w:val="center"/>
          </w:tcPr>
          <w:p w14:paraId="1370469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358" w:type="pct"/>
            <w:vAlign w:val="center"/>
          </w:tcPr>
          <w:p w14:paraId="516C213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640" w:type="pct"/>
            <w:vAlign w:val="center"/>
          </w:tcPr>
          <w:p w14:paraId="12D3B4F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76" w:type="pct"/>
            <w:vAlign w:val="center"/>
          </w:tcPr>
          <w:p w14:paraId="426B174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75" w:type="pct"/>
            <w:vAlign w:val="center"/>
          </w:tcPr>
          <w:p w14:paraId="0FE833B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364" w:type="pct"/>
            <w:vAlign w:val="center"/>
          </w:tcPr>
          <w:p w14:paraId="3CC239D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18" w:type="pct"/>
            <w:vAlign w:val="center"/>
          </w:tcPr>
          <w:p w14:paraId="0F9B6C6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52" w:type="pct"/>
            <w:vAlign w:val="center"/>
          </w:tcPr>
          <w:p w14:paraId="787A10A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9" w:type="pct"/>
            <w:vAlign w:val="center"/>
          </w:tcPr>
          <w:p w14:paraId="67F6070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6A10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56" w:type="pct"/>
            <w:vAlign w:val="center"/>
          </w:tcPr>
          <w:p w14:paraId="3C0869F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51" w:type="pct"/>
            <w:vAlign w:val="center"/>
          </w:tcPr>
          <w:p w14:paraId="03AEB27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67" w:type="pct"/>
            <w:vAlign w:val="center"/>
          </w:tcPr>
          <w:p w14:paraId="55AADC6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358" w:type="pct"/>
            <w:vAlign w:val="center"/>
          </w:tcPr>
          <w:p w14:paraId="31C777B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640" w:type="pct"/>
            <w:vAlign w:val="center"/>
          </w:tcPr>
          <w:p w14:paraId="7848C2D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76" w:type="pct"/>
            <w:vAlign w:val="center"/>
          </w:tcPr>
          <w:p w14:paraId="728B9BF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75" w:type="pct"/>
            <w:vAlign w:val="center"/>
          </w:tcPr>
          <w:p w14:paraId="195AD26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364" w:type="pct"/>
            <w:vAlign w:val="center"/>
          </w:tcPr>
          <w:p w14:paraId="49192FF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18" w:type="pct"/>
            <w:vAlign w:val="center"/>
          </w:tcPr>
          <w:p w14:paraId="0EB2350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52" w:type="pct"/>
            <w:vAlign w:val="center"/>
          </w:tcPr>
          <w:p w14:paraId="607773E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9" w:type="pct"/>
            <w:vAlign w:val="center"/>
          </w:tcPr>
          <w:p w14:paraId="1B9C4E9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1F107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75" w:type="pct"/>
            <w:gridSpan w:val="3"/>
            <w:vAlign w:val="center"/>
          </w:tcPr>
          <w:p w14:paraId="69968B7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4"/>
              </w:rPr>
            </w:pPr>
            <w:r>
              <w:rPr>
                <w:rFonts w:hint="default" w:ascii="Times New Roman" w:hAnsi="Times New Roman" w:cs="Times New Roman"/>
              </w:rPr>
              <w:t>Total bidding Price</w:t>
            </w:r>
          </w:p>
        </w:tc>
        <w:tc>
          <w:tcPr>
            <w:tcW w:w="3724" w:type="pct"/>
            <w:gridSpan w:val="8"/>
            <w:vAlign w:val="center"/>
          </w:tcPr>
          <w:p w14:paraId="0198C12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bl>
    <w:p w14:paraId="10972CB5">
      <w:pPr>
        <w:pStyle w:val="8"/>
        <w:keepNext w:val="0"/>
        <w:keepLines w:val="0"/>
        <w:pageBreakBefore w:val="0"/>
        <w:kinsoku/>
        <w:wordWrap/>
        <w:overflowPunct/>
        <w:topLinePunct w:val="0"/>
        <w:bidi w:val="0"/>
        <w:snapToGrid/>
        <w:spacing w:beforeAutospacing="0" w:after="0" w:afterAutospacing="0" w:line="240" w:lineRule="auto"/>
        <w:textAlignment w:val="auto"/>
        <w:rPr>
          <w:rFonts w:ascii="Times New Roman" w:hAnsi="Times New Roman" w:cs="Times New Roman"/>
        </w:rPr>
      </w:pPr>
    </w:p>
    <w:p w14:paraId="1698821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u w:val="single"/>
        </w:rPr>
      </w:pPr>
      <w:r>
        <w:rPr>
          <w:rFonts w:ascii="Times New Roman" w:hAnsi="Times New Roman" w:cs="Times New Roman"/>
        </w:rPr>
        <w:t xml:space="preserve">Signature of bidder's representative: </w:t>
      </w:r>
      <w:r>
        <w:rPr>
          <w:rFonts w:ascii="Times New Roman" w:hAnsi="Times New Roman" w:cs="Times New Roman"/>
          <w:u w:val="single"/>
        </w:rPr>
        <w:t xml:space="preserve">        </w:t>
      </w:r>
    </w:p>
    <w:p w14:paraId="3C994C66">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rPr>
      </w:pPr>
    </w:p>
    <w:p w14:paraId="4F0F4D9B">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b/>
          <w:szCs w:val="24"/>
        </w:rPr>
      </w:pPr>
      <w:r>
        <w:rPr>
          <w:rFonts w:ascii="Times New Roman" w:hAnsi="Times New Roman" w:cs="Times New Roman"/>
          <w:b/>
          <w:bCs/>
        </w:rPr>
        <w:t>Note:</w:t>
      </w:r>
      <w:r>
        <w:rPr>
          <w:rFonts w:ascii="Times New Roman" w:hAnsi="Times New Roman" w:cs="Times New Roman"/>
        </w:rPr>
        <w:t xml:space="preserve"> In addition to this form in the bidding documents, it should be sealed and marked in accordance with the Article 18 of Instructions to Bidders and submitted separately with the bid security.</w:t>
      </w:r>
    </w:p>
    <w:p w14:paraId="46B40CB9">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rPr>
      </w:pPr>
    </w:p>
    <w:p w14:paraId="08C9BAAB">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color w:val="000000"/>
          <w:szCs w:val="24"/>
        </w:rPr>
      </w:pPr>
      <w:r>
        <w:rPr>
          <w:rFonts w:ascii="Times New Roman" w:hAnsi="Times New Roman" w:cs="Times New Roman"/>
          <w:b/>
          <w:bCs/>
        </w:rPr>
        <w:t>*The first volume is different from this table format, and this table format shall prevail.</w:t>
      </w:r>
      <w:r>
        <w:rPr>
          <w:rFonts w:ascii="Times New Roman" w:hAnsi="Times New Roman" w:cs="Times New Roman"/>
          <w:color w:val="000000"/>
        </w:rPr>
        <w:br w:type="page"/>
      </w:r>
    </w:p>
    <w:p w14:paraId="401F6F67">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b/>
          <w:bCs/>
          <w:szCs w:val="24"/>
        </w:rPr>
      </w:pPr>
      <w:r>
        <w:rPr>
          <w:rFonts w:ascii="Times New Roman" w:hAnsi="Times New Roman" w:cs="Times New Roman"/>
          <w:b/>
          <w:bCs/>
        </w:rPr>
        <w:t>Format IV-3-2 Form of Subitem Quotation Form for Bid</w:t>
      </w:r>
    </w:p>
    <w:p w14:paraId="6C981775">
      <w:pPr>
        <w:keepNext w:val="0"/>
        <w:keepLines w:val="0"/>
        <w:pageBreakBefore w:val="0"/>
        <w:kinsoku/>
        <w:wordWrap/>
        <w:overflowPunct/>
        <w:topLinePunct w:val="0"/>
        <w:bidi w:val="0"/>
        <w:snapToGrid/>
        <w:spacing w:beforeAutospacing="0" w:afterAutospacing="0" w:line="240" w:lineRule="auto"/>
        <w:jc w:val="center"/>
        <w:textAlignment w:val="auto"/>
        <w:rPr>
          <w:rFonts w:ascii="Times New Roman" w:hAnsi="Times New Roman" w:eastAsia="宋体" w:cs="Times New Roman"/>
          <w:b/>
          <w:bCs/>
          <w:szCs w:val="21"/>
        </w:rPr>
      </w:pPr>
      <w:r>
        <w:rPr>
          <w:rFonts w:ascii="Times New Roman" w:hAnsi="Times New Roman" w:cs="Times New Roman"/>
          <w:b/>
          <w:bCs/>
        </w:rPr>
        <w:t>Subitem Quotation Form for Bid</w:t>
      </w:r>
    </w:p>
    <w:p w14:paraId="6C1B2CE8">
      <w:pPr>
        <w:pStyle w:val="8"/>
        <w:keepNext w:val="0"/>
        <w:keepLines w:val="0"/>
        <w:pageBreakBefore w:val="0"/>
        <w:kinsoku/>
        <w:wordWrap/>
        <w:overflowPunct/>
        <w:topLinePunct w:val="0"/>
        <w:bidi w:val="0"/>
        <w:snapToGrid/>
        <w:spacing w:beforeAutospacing="0" w:after="0" w:afterAutospacing="0" w:line="240" w:lineRule="auto"/>
        <w:jc w:val="center"/>
        <w:textAlignment w:val="auto"/>
        <w:rPr>
          <w:rFonts w:ascii="Times New Roman" w:hAnsi="Times New Roman" w:eastAsia="宋体" w:cs="Times New Roman"/>
          <w:b/>
          <w:bCs/>
          <w:szCs w:val="21"/>
        </w:rPr>
      </w:pPr>
      <w:r>
        <w:rPr>
          <w:rFonts w:ascii="Times New Roman" w:hAnsi="Times New Roman" w:cs="Times New Roman"/>
          <w:b/>
          <w:bCs/>
        </w:rPr>
        <w:t>(Bidding for overseas supply)</w:t>
      </w:r>
    </w:p>
    <w:p w14:paraId="674F61F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u w:val="single"/>
        </w:rPr>
      </w:pPr>
      <w:r>
        <w:rPr>
          <w:rFonts w:ascii="Times New Roman" w:hAnsi="Times New Roman" w:cs="Times New Roman"/>
        </w:rPr>
        <w:t>Name of bidder:</w:t>
      </w:r>
      <w:r>
        <w:rPr>
          <w:rFonts w:ascii="Times New Roman" w:hAnsi="Times New Roman" w:cs="Times New Roman"/>
          <w:u w:val="single"/>
        </w:rPr>
        <w:t xml:space="preserve">            </w:t>
      </w:r>
      <w:r>
        <w:rPr>
          <w:rFonts w:ascii="Times New Roman" w:hAnsi="Times New Roman" w:cs="Times New Roman"/>
        </w:rPr>
        <w:t xml:space="preserve"> Tender No.:</w:t>
      </w:r>
      <w:r>
        <w:rPr>
          <w:rFonts w:ascii="Times New Roman" w:hAnsi="Times New Roman" w:cs="Times New Roman"/>
          <w:u w:val="single"/>
        </w:rPr>
        <w:t xml:space="preserve">             </w:t>
      </w:r>
      <w:r>
        <w:rPr>
          <w:rFonts w:ascii="Times New Roman" w:hAnsi="Times New Roman" w:cs="Times New Roman"/>
        </w:rPr>
        <w:t xml:space="preserve"> Subcontract No.:</w:t>
      </w:r>
      <w:r>
        <w:rPr>
          <w:rFonts w:ascii="Times New Roman" w:hAnsi="Times New Roman" w:cs="Times New Roman"/>
          <w:u w:val="single"/>
        </w:rPr>
        <w:t xml:space="preserve">       </w:t>
      </w:r>
    </w:p>
    <w:tbl>
      <w:tblPr>
        <w:tblStyle w:val="1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673"/>
        <w:gridCol w:w="1225"/>
        <w:gridCol w:w="684"/>
        <w:gridCol w:w="1257"/>
        <w:gridCol w:w="1013"/>
        <w:gridCol w:w="1215"/>
        <w:gridCol w:w="885"/>
        <w:gridCol w:w="769"/>
      </w:tblGrid>
      <w:tr w14:paraId="0AB8E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2" w:type="pct"/>
            <w:vAlign w:val="center"/>
          </w:tcPr>
          <w:p w14:paraId="29417B5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Serial number</w:t>
            </w:r>
          </w:p>
        </w:tc>
        <w:tc>
          <w:tcPr>
            <w:tcW w:w="542" w:type="pct"/>
            <w:vAlign w:val="center"/>
          </w:tcPr>
          <w:p w14:paraId="19A5F10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Name</w:t>
            </w:r>
          </w:p>
        </w:tc>
        <w:tc>
          <w:tcPr>
            <w:tcW w:w="557" w:type="pct"/>
            <w:vAlign w:val="center"/>
          </w:tcPr>
          <w:p w14:paraId="552660A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Specification / model</w:t>
            </w:r>
          </w:p>
        </w:tc>
        <w:tc>
          <w:tcPr>
            <w:tcW w:w="429" w:type="pct"/>
            <w:vAlign w:val="center"/>
          </w:tcPr>
          <w:p w14:paraId="311C130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Brand</w:t>
            </w:r>
          </w:p>
        </w:tc>
        <w:tc>
          <w:tcPr>
            <w:tcW w:w="706" w:type="pct"/>
            <w:vAlign w:val="center"/>
          </w:tcPr>
          <w:p w14:paraId="4BF6FCC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bCs/>
                <w:szCs w:val="21"/>
                <w:highlight w:val="none"/>
              </w:rPr>
            </w:pPr>
            <w:r>
              <w:rPr>
                <w:rFonts w:hint="default" w:ascii="Times New Roman" w:hAnsi="Times New Roman" w:cs="Times New Roman"/>
                <w:highlight w:val="none"/>
              </w:rPr>
              <w:t>Manufacturer and country of origin</w:t>
            </w:r>
          </w:p>
        </w:tc>
        <w:tc>
          <w:tcPr>
            <w:tcW w:w="881" w:type="pct"/>
            <w:vAlign w:val="center"/>
          </w:tcPr>
          <w:p w14:paraId="1CCC9AA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highlight w:val="none"/>
              </w:rPr>
            </w:pPr>
            <w:r>
              <w:rPr>
                <w:rFonts w:hint="default" w:ascii="Times New Roman" w:hAnsi="Times New Roman" w:cs="Times New Roman"/>
                <w:highlight w:val="none"/>
              </w:rPr>
              <w:t>Price conditions (tax included / exempt)</w:t>
            </w:r>
          </w:p>
        </w:tc>
        <w:tc>
          <w:tcPr>
            <w:tcW w:w="433" w:type="pct"/>
            <w:vAlign w:val="center"/>
          </w:tcPr>
          <w:p w14:paraId="4B384F5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r>
              <w:rPr>
                <w:rFonts w:hint="default" w:ascii="Times New Roman" w:hAnsi="Times New Roman" w:cs="Times New Roman"/>
                <w:highlight w:val="none"/>
              </w:rPr>
              <w:t>CIP Unit Price (RMB)(State the destination)</w:t>
            </w:r>
          </w:p>
        </w:tc>
        <w:tc>
          <w:tcPr>
            <w:tcW w:w="500" w:type="pct"/>
            <w:vAlign w:val="center"/>
          </w:tcPr>
          <w:p w14:paraId="462A680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r>
              <w:rPr>
                <w:rFonts w:hint="default" w:ascii="Times New Roman" w:hAnsi="Times New Roman" w:cs="Times New Roman"/>
                <w:highlight w:val="none"/>
              </w:rPr>
              <w:t>Quantity</w:t>
            </w:r>
          </w:p>
        </w:tc>
        <w:tc>
          <w:tcPr>
            <w:tcW w:w="517" w:type="pct"/>
            <w:vAlign w:val="center"/>
          </w:tcPr>
          <w:p w14:paraId="03E56A9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highlight w:val="none"/>
              </w:rPr>
            </w:pPr>
            <w:r>
              <w:rPr>
                <w:rFonts w:hint="default" w:ascii="Times New Roman" w:hAnsi="Times New Roman" w:cs="Times New Roman"/>
                <w:highlight w:val="none"/>
              </w:rPr>
              <w:t>CIP Total Price (RMB)</w:t>
            </w:r>
          </w:p>
        </w:tc>
      </w:tr>
      <w:tr w14:paraId="06A7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2" w:type="pct"/>
            <w:vAlign w:val="center"/>
          </w:tcPr>
          <w:p w14:paraId="1BED6C4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42" w:type="pct"/>
            <w:vAlign w:val="center"/>
          </w:tcPr>
          <w:p w14:paraId="6327E11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57" w:type="pct"/>
            <w:vAlign w:val="center"/>
          </w:tcPr>
          <w:p w14:paraId="5A1347F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29" w:type="pct"/>
            <w:vAlign w:val="center"/>
          </w:tcPr>
          <w:p w14:paraId="3E3D211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706" w:type="pct"/>
            <w:vAlign w:val="center"/>
          </w:tcPr>
          <w:p w14:paraId="15B5CD7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881" w:type="pct"/>
            <w:vAlign w:val="center"/>
          </w:tcPr>
          <w:p w14:paraId="766454D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3" w:type="pct"/>
            <w:vAlign w:val="center"/>
          </w:tcPr>
          <w:p w14:paraId="57A0711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00" w:type="pct"/>
            <w:vAlign w:val="center"/>
          </w:tcPr>
          <w:p w14:paraId="0C34911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17" w:type="pct"/>
            <w:vAlign w:val="center"/>
          </w:tcPr>
          <w:p w14:paraId="33A318E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128D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2" w:type="pct"/>
            <w:vAlign w:val="center"/>
          </w:tcPr>
          <w:p w14:paraId="656D47E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42" w:type="pct"/>
            <w:vAlign w:val="center"/>
          </w:tcPr>
          <w:p w14:paraId="58B3CF0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57" w:type="pct"/>
            <w:vAlign w:val="center"/>
          </w:tcPr>
          <w:p w14:paraId="26D4644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29" w:type="pct"/>
            <w:vAlign w:val="center"/>
          </w:tcPr>
          <w:p w14:paraId="384CCD5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706" w:type="pct"/>
            <w:vAlign w:val="center"/>
          </w:tcPr>
          <w:p w14:paraId="28F1932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881" w:type="pct"/>
            <w:vAlign w:val="center"/>
          </w:tcPr>
          <w:p w14:paraId="3F25FF0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3" w:type="pct"/>
            <w:vAlign w:val="center"/>
          </w:tcPr>
          <w:p w14:paraId="70E55F1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00" w:type="pct"/>
            <w:vAlign w:val="center"/>
          </w:tcPr>
          <w:p w14:paraId="28C447E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17" w:type="pct"/>
            <w:vAlign w:val="center"/>
          </w:tcPr>
          <w:p w14:paraId="0D0FFB4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7C3E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2" w:type="pct"/>
            <w:vAlign w:val="center"/>
          </w:tcPr>
          <w:p w14:paraId="69AF9FB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42" w:type="pct"/>
            <w:vAlign w:val="center"/>
          </w:tcPr>
          <w:p w14:paraId="7EAB280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57" w:type="pct"/>
            <w:vAlign w:val="center"/>
          </w:tcPr>
          <w:p w14:paraId="04D0854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29" w:type="pct"/>
            <w:vAlign w:val="center"/>
          </w:tcPr>
          <w:p w14:paraId="41D55B3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706" w:type="pct"/>
            <w:vAlign w:val="center"/>
          </w:tcPr>
          <w:p w14:paraId="450B26A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881" w:type="pct"/>
            <w:vAlign w:val="center"/>
          </w:tcPr>
          <w:p w14:paraId="6745D69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3" w:type="pct"/>
            <w:vAlign w:val="center"/>
          </w:tcPr>
          <w:p w14:paraId="017F8D4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00" w:type="pct"/>
            <w:vAlign w:val="center"/>
          </w:tcPr>
          <w:p w14:paraId="511026E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17" w:type="pct"/>
            <w:vAlign w:val="center"/>
          </w:tcPr>
          <w:p w14:paraId="2139C0E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514D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2" w:type="pct"/>
            <w:vAlign w:val="center"/>
          </w:tcPr>
          <w:p w14:paraId="12A900C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42" w:type="pct"/>
            <w:vAlign w:val="center"/>
          </w:tcPr>
          <w:p w14:paraId="6F76004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57" w:type="pct"/>
            <w:vAlign w:val="center"/>
          </w:tcPr>
          <w:p w14:paraId="2A46A21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29" w:type="pct"/>
            <w:vAlign w:val="center"/>
          </w:tcPr>
          <w:p w14:paraId="5D9C47B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706" w:type="pct"/>
            <w:vAlign w:val="center"/>
          </w:tcPr>
          <w:p w14:paraId="5864D3F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881" w:type="pct"/>
            <w:vAlign w:val="center"/>
          </w:tcPr>
          <w:p w14:paraId="30D6CAC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3" w:type="pct"/>
            <w:vAlign w:val="center"/>
          </w:tcPr>
          <w:p w14:paraId="6A6CB03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00" w:type="pct"/>
            <w:vAlign w:val="center"/>
          </w:tcPr>
          <w:p w14:paraId="131B0E8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17" w:type="pct"/>
            <w:vAlign w:val="center"/>
          </w:tcPr>
          <w:p w14:paraId="3C50C65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00C0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32" w:type="pct"/>
            <w:vAlign w:val="center"/>
          </w:tcPr>
          <w:p w14:paraId="56D1115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42" w:type="pct"/>
            <w:vAlign w:val="center"/>
          </w:tcPr>
          <w:p w14:paraId="3DF197D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57" w:type="pct"/>
            <w:vAlign w:val="center"/>
          </w:tcPr>
          <w:p w14:paraId="1B1A7AA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29" w:type="pct"/>
            <w:vAlign w:val="center"/>
          </w:tcPr>
          <w:p w14:paraId="13AE372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706" w:type="pct"/>
            <w:vAlign w:val="center"/>
          </w:tcPr>
          <w:p w14:paraId="509DE6A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881" w:type="pct"/>
            <w:vAlign w:val="center"/>
          </w:tcPr>
          <w:p w14:paraId="1DE8A3B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433" w:type="pct"/>
            <w:vAlign w:val="center"/>
          </w:tcPr>
          <w:p w14:paraId="6190D59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00" w:type="pct"/>
            <w:vAlign w:val="center"/>
          </w:tcPr>
          <w:p w14:paraId="21B9CFB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c>
          <w:tcPr>
            <w:tcW w:w="517" w:type="pct"/>
            <w:vAlign w:val="center"/>
          </w:tcPr>
          <w:p w14:paraId="2B3013E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cs="Times New Roman"/>
              </w:rPr>
            </w:pPr>
          </w:p>
        </w:tc>
      </w:tr>
      <w:tr w14:paraId="53B0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20D59BA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eastAsia="宋体" w:cs="Times New Roman"/>
                <w:szCs w:val="24"/>
              </w:rPr>
            </w:pPr>
            <w:r>
              <w:rPr>
                <w:rFonts w:hint="default" w:ascii="Times New Roman" w:hAnsi="Times New Roman" w:cs="Times New Roman"/>
              </w:rPr>
              <w:t>Total</w:t>
            </w:r>
          </w:p>
        </w:tc>
      </w:tr>
    </w:tbl>
    <w:p w14:paraId="4C1F6E94">
      <w:pPr>
        <w:pStyle w:val="8"/>
        <w:keepNext w:val="0"/>
        <w:keepLines w:val="0"/>
        <w:pageBreakBefore w:val="0"/>
        <w:kinsoku/>
        <w:wordWrap/>
        <w:overflowPunct/>
        <w:topLinePunct w:val="0"/>
        <w:bidi w:val="0"/>
        <w:snapToGrid/>
        <w:spacing w:beforeAutospacing="0" w:after="0" w:afterAutospacing="0" w:line="240" w:lineRule="auto"/>
        <w:textAlignment w:val="auto"/>
        <w:rPr>
          <w:rFonts w:ascii="Times New Roman" w:hAnsi="Times New Roman" w:cs="Times New Roman"/>
        </w:rPr>
      </w:pPr>
    </w:p>
    <w:p w14:paraId="034F440E">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u w:val="single"/>
        </w:rPr>
      </w:pPr>
      <w:r>
        <w:rPr>
          <w:rFonts w:ascii="Times New Roman" w:hAnsi="Times New Roman" w:cs="Times New Roman"/>
        </w:rPr>
        <w:t xml:space="preserve">Signature of bidder's representative: </w:t>
      </w:r>
      <w:r>
        <w:rPr>
          <w:rFonts w:ascii="Times New Roman" w:hAnsi="Times New Roman" w:cs="Times New Roman"/>
          <w:u w:val="single"/>
        </w:rPr>
        <w:t xml:space="preserve">        </w:t>
      </w:r>
    </w:p>
    <w:p w14:paraId="0960C5E1">
      <w:pPr>
        <w:pStyle w:val="8"/>
        <w:keepNext w:val="0"/>
        <w:keepLines w:val="0"/>
        <w:pageBreakBefore w:val="0"/>
        <w:kinsoku/>
        <w:wordWrap/>
        <w:overflowPunct/>
        <w:topLinePunct w:val="0"/>
        <w:bidi w:val="0"/>
        <w:snapToGrid/>
        <w:spacing w:beforeAutospacing="0" w:after="0" w:afterAutospacing="0" w:line="240" w:lineRule="auto"/>
        <w:textAlignment w:val="auto"/>
        <w:rPr>
          <w:rFonts w:ascii="Times New Roman" w:hAnsi="Times New Roman" w:cs="Times New Roman"/>
        </w:rPr>
      </w:pPr>
    </w:p>
    <w:p w14:paraId="3A251857">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rPr>
      </w:pPr>
      <w:r>
        <w:rPr>
          <w:rFonts w:ascii="Times New Roman" w:hAnsi="Times New Roman" w:cs="Times New Roman"/>
          <w:b/>
          <w:bCs/>
        </w:rPr>
        <w:t>Note:</w:t>
      </w:r>
      <w:r>
        <w:rPr>
          <w:rFonts w:ascii="Times New Roman" w:hAnsi="Times New Roman" w:cs="Times New Roman"/>
        </w:rPr>
        <w:t xml:space="preserve"> 1. If the result calculated according to the unit price is inconsistent with the total price, the total price shall be revised based on the unit price. </w:t>
      </w:r>
    </w:p>
    <w:p w14:paraId="0BF8A605">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r>
        <w:rPr>
          <w:rFonts w:ascii="Times New Roman" w:hAnsi="Times New Roman" w:cs="Times New Roman"/>
        </w:rPr>
        <w:t>2. If detailed subitem quotation is not provided, it will be deemed that there is no substantial response to the bidding documents.</w:t>
      </w:r>
    </w:p>
    <w:p w14:paraId="4E8F293B">
      <w:pPr>
        <w:pStyle w:val="8"/>
        <w:keepNext w:val="0"/>
        <w:keepLines w:val="0"/>
        <w:pageBreakBefore w:val="0"/>
        <w:kinsoku/>
        <w:wordWrap/>
        <w:overflowPunct/>
        <w:topLinePunct w:val="0"/>
        <w:bidi w:val="0"/>
        <w:snapToGrid/>
        <w:spacing w:beforeAutospacing="0" w:after="0" w:afterAutospacing="0" w:line="240" w:lineRule="auto"/>
        <w:jc w:val="both"/>
        <w:textAlignment w:val="auto"/>
        <w:rPr>
          <w:rFonts w:ascii="Times New Roman" w:hAnsi="Times New Roman" w:cs="Times New Roman"/>
        </w:rPr>
      </w:pPr>
    </w:p>
    <w:p w14:paraId="4FC39533">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rPr>
      </w:pPr>
      <w:r>
        <w:rPr>
          <w:rFonts w:ascii="Times New Roman" w:hAnsi="Times New Roman" w:cs="Times New Roman"/>
          <w:b/>
          <w:bCs/>
        </w:rPr>
        <w:t>*“Origin” refers to the actual production and processing of goods, not the location of the brand; “Manufacturer” refers to the manufacturer of the product brand. If there are domestic and foreign manufacturers of the same brand, the domestic manufacturer should be filled in.</w:t>
      </w:r>
    </w:p>
    <w:p w14:paraId="311AC314">
      <w:pPr>
        <w:pStyle w:val="8"/>
        <w:keepNext w:val="0"/>
        <w:keepLines w:val="0"/>
        <w:pageBreakBefore w:val="0"/>
        <w:kinsoku/>
        <w:wordWrap/>
        <w:overflowPunct/>
        <w:topLinePunct w:val="0"/>
        <w:bidi w:val="0"/>
        <w:snapToGrid/>
        <w:spacing w:beforeAutospacing="0" w:after="0" w:afterAutospacing="0" w:line="240" w:lineRule="auto"/>
        <w:jc w:val="both"/>
        <w:textAlignment w:val="auto"/>
        <w:rPr>
          <w:rFonts w:ascii="Times New Roman" w:hAnsi="Times New Roman" w:cs="Times New Roman"/>
          <w:b/>
          <w:bCs/>
        </w:rPr>
      </w:pPr>
      <w:r>
        <w:rPr>
          <w:rFonts w:ascii="Times New Roman" w:hAnsi="Times New Roman" w:cs="Times New Roman"/>
          <w:b/>
          <w:bCs/>
        </w:rPr>
        <w:t>*The first volume is different from this table format, and this table format shall prevail.</w:t>
      </w:r>
    </w:p>
    <w:p w14:paraId="2F79608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color w:val="000000"/>
          <w:szCs w:val="24"/>
        </w:rPr>
      </w:pPr>
      <w:r>
        <w:rPr>
          <w:rFonts w:ascii="Times New Roman" w:hAnsi="Times New Roman" w:cs="Times New Roman"/>
        </w:rPr>
        <w:br w:type="page"/>
      </w:r>
    </w:p>
    <w:p w14:paraId="36CBAA7F">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b/>
          <w:bCs/>
          <w:szCs w:val="24"/>
        </w:rPr>
      </w:pPr>
      <w:r>
        <w:rPr>
          <w:rFonts w:ascii="Times New Roman" w:hAnsi="Times New Roman" w:cs="Times New Roman"/>
          <w:b/>
          <w:bCs/>
        </w:rPr>
        <w:t>Format IV-5. Format of Technical Specification Response / Deviation Tables</w:t>
      </w:r>
    </w:p>
    <w:p w14:paraId="64A5B96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snapToGrid w:val="0"/>
        </w:rPr>
      </w:pPr>
    </w:p>
    <w:p w14:paraId="51897F0F">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snapToGrid w:val="0"/>
        </w:rPr>
      </w:pPr>
    </w:p>
    <w:p w14:paraId="5ECB8977">
      <w:pPr>
        <w:keepNext w:val="0"/>
        <w:keepLines w:val="0"/>
        <w:pageBreakBefore w:val="0"/>
        <w:kinsoku/>
        <w:wordWrap/>
        <w:overflowPunct/>
        <w:topLinePunct w:val="0"/>
        <w:bidi w:val="0"/>
        <w:snapToGrid/>
        <w:spacing w:beforeAutospacing="0" w:afterAutospacing="0" w:line="240" w:lineRule="auto"/>
        <w:jc w:val="center"/>
        <w:textAlignment w:val="auto"/>
        <w:rPr>
          <w:rFonts w:ascii="Times New Roman" w:hAnsi="Times New Roman" w:eastAsia="黑体" w:cs="Times New Roman"/>
          <w:b/>
          <w:bCs/>
          <w:snapToGrid w:val="0"/>
          <w:kern w:val="0"/>
          <w:sz w:val="24"/>
          <w:szCs w:val="36"/>
        </w:rPr>
      </w:pPr>
      <w:r>
        <w:rPr>
          <w:rFonts w:ascii="Times New Roman" w:hAnsi="Times New Roman" w:cs="Times New Roman"/>
          <w:b/>
          <w:bCs/>
          <w:snapToGrid w:val="0"/>
          <w:sz w:val="24"/>
          <w:szCs w:val="28"/>
        </w:rPr>
        <w:t>Format of Technical Specification Response / Deviation Tables</w:t>
      </w:r>
    </w:p>
    <w:p w14:paraId="4DE8C96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rPr>
      </w:pPr>
    </w:p>
    <w:p w14:paraId="23BFDE7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rPr>
      </w:pPr>
    </w:p>
    <w:p w14:paraId="23E7DA3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snapToGrid w:val="0"/>
          <w:kern w:val="0"/>
          <w:szCs w:val="24"/>
        </w:rPr>
      </w:pPr>
      <w:r>
        <w:rPr>
          <w:rFonts w:ascii="Times New Roman" w:hAnsi="Times New Roman" w:cs="Times New Roman"/>
          <w:snapToGrid w:val="0"/>
        </w:rPr>
        <w:t xml:space="preserve">Name of bidder: </w:t>
      </w:r>
      <w:r>
        <w:rPr>
          <w:rFonts w:ascii="Times New Roman" w:hAnsi="Times New Roman" w:cs="Times New Roman"/>
          <w:snapToGrid w:val="0"/>
          <w:u w:val="single"/>
        </w:rPr>
        <w:t xml:space="preserve">               </w:t>
      </w:r>
      <w:r>
        <w:rPr>
          <w:rFonts w:ascii="Times New Roman" w:hAnsi="Times New Roman" w:cs="Times New Roman"/>
          <w:snapToGrid w:val="0"/>
        </w:rPr>
        <w:t xml:space="preserve"> Tender No.: </w:t>
      </w:r>
      <w:r>
        <w:rPr>
          <w:rFonts w:ascii="Times New Roman" w:hAnsi="Times New Roman" w:cs="Times New Roman"/>
          <w:snapToGrid w:val="0"/>
          <w:u w:val="single"/>
        </w:rPr>
        <w:t xml:space="preserve">             </w:t>
      </w:r>
      <w:r>
        <w:rPr>
          <w:rFonts w:ascii="Times New Roman" w:hAnsi="Times New Roman" w:cs="Times New Roman"/>
          <w:snapToGrid w:val="0"/>
        </w:rPr>
        <w:t xml:space="preserve"> Subcontract No.: </w:t>
      </w:r>
      <w:r>
        <w:rPr>
          <w:rFonts w:ascii="Times New Roman" w:hAnsi="Times New Roman" w:cs="Times New Roman"/>
          <w:snapToGrid w:val="0"/>
          <w:u w:val="single"/>
        </w:rPr>
        <w:t xml:space="preserve">              </w:t>
      </w:r>
    </w:p>
    <w:p w14:paraId="2C5BFB9E">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rPr>
      </w:pP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883"/>
        <w:gridCol w:w="1286"/>
        <w:gridCol w:w="1476"/>
        <w:gridCol w:w="1264"/>
        <w:gridCol w:w="1709"/>
        <w:gridCol w:w="1105"/>
      </w:tblGrid>
      <w:tr w14:paraId="37EC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95" w:type="pct"/>
            <w:vAlign w:val="center"/>
          </w:tcPr>
          <w:p w14:paraId="079F065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rPr>
            </w:pPr>
            <w:r>
              <w:rPr>
                <w:rFonts w:hint="default" w:ascii="Times New Roman" w:hAnsi="Times New Roman" w:cs="Times New Roman"/>
                <w:color w:val="auto"/>
              </w:rPr>
              <w:t>Serial number</w:t>
            </w:r>
          </w:p>
        </w:tc>
        <w:tc>
          <w:tcPr>
            <w:tcW w:w="441" w:type="pct"/>
            <w:vAlign w:val="center"/>
          </w:tcPr>
          <w:p w14:paraId="1E568FF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rPr>
            </w:pPr>
            <w:r>
              <w:rPr>
                <w:rFonts w:hint="default" w:ascii="Times New Roman" w:hAnsi="Times New Roman" w:cs="Times New Roman"/>
                <w:color w:val="auto"/>
              </w:rPr>
              <w:t>Goods name</w:t>
            </w:r>
          </w:p>
        </w:tc>
        <w:tc>
          <w:tcPr>
            <w:tcW w:w="803" w:type="pct"/>
            <w:vAlign w:val="center"/>
          </w:tcPr>
          <w:p w14:paraId="6CDBF95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rPr>
            </w:pPr>
            <w:r>
              <w:rPr>
                <w:rFonts w:hint="default" w:ascii="Times New Roman" w:hAnsi="Times New Roman" w:cs="Times New Roman"/>
                <w:color w:val="auto"/>
              </w:rPr>
              <w:t>Configuration name</w:t>
            </w:r>
          </w:p>
        </w:tc>
        <w:tc>
          <w:tcPr>
            <w:tcW w:w="709" w:type="pct"/>
            <w:vAlign w:val="center"/>
          </w:tcPr>
          <w:p w14:paraId="7869513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rPr>
            </w:pPr>
            <w:r>
              <w:rPr>
                <w:rFonts w:hint="default" w:ascii="Times New Roman" w:hAnsi="Times New Roman" w:cs="Times New Roman"/>
                <w:color w:val="auto"/>
              </w:rPr>
              <w:t>Technical parameters requirement</w:t>
            </w:r>
          </w:p>
        </w:tc>
        <w:tc>
          <w:tcPr>
            <w:tcW w:w="789" w:type="pct"/>
            <w:vAlign w:val="center"/>
          </w:tcPr>
          <w:p w14:paraId="68FC2D3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color w:val="auto"/>
              </w:rPr>
            </w:pPr>
            <w:r>
              <w:rPr>
                <w:rFonts w:hint="default" w:ascii="Times New Roman" w:hAnsi="Times New Roman" w:cs="Times New Roman"/>
                <w:color w:val="auto"/>
              </w:rPr>
              <w:t>Tender specifications and response</w:t>
            </w:r>
          </w:p>
        </w:tc>
        <w:tc>
          <w:tcPr>
            <w:tcW w:w="1070" w:type="pct"/>
            <w:vAlign w:val="center"/>
          </w:tcPr>
          <w:p w14:paraId="0D30076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rPr>
            </w:pPr>
            <w:r>
              <w:rPr>
                <w:rFonts w:hint="default" w:ascii="Times New Roman" w:hAnsi="Times New Roman" w:cs="Times New Roman"/>
              </w:rPr>
              <w:t>Response/deviation</w:t>
            </w:r>
          </w:p>
        </w:tc>
        <w:tc>
          <w:tcPr>
            <w:tcW w:w="689" w:type="pct"/>
            <w:vAlign w:val="center"/>
          </w:tcPr>
          <w:p w14:paraId="627DA6C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rPr>
            </w:pPr>
            <w:r>
              <w:rPr>
                <w:rFonts w:hint="default" w:ascii="Times New Roman" w:hAnsi="Times New Roman" w:cs="Times New Roman"/>
              </w:rPr>
              <w:t>Description</w:t>
            </w:r>
          </w:p>
        </w:tc>
      </w:tr>
      <w:tr w14:paraId="6D34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 w:type="pct"/>
            <w:noWrap w:val="0"/>
            <w:vAlign w:val="center"/>
          </w:tcPr>
          <w:p w14:paraId="76A0326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w:t>
            </w:r>
          </w:p>
        </w:tc>
        <w:tc>
          <w:tcPr>
            <w:tcW w:w="753" w:type="dxa"/>
            <w:vMerge w:val="restart"/>
            <w:noWrap w:val="0"/>
            <w:vAlign w:val="center"/>
          </w:tcPr>
          <w:p w14:paraId="77BFAB0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lang w:val="en-US" w:eastAsia="zh-CN"/>
              </w:rPr>
            </w:pPr>
            <w:r>
              <w:rPr>
                <w:rFonts w:hint="default" w:ascii="Times New Roman" w:hAnsi="Times New Roman" w:cs="Times New Roman"/>
                <w:color w:val="auto"/>
                <w:highlight w:val="none"/>
              </w:rPr>
              <w:t>Fluxgate</w:t>
            </w:r>
          </w:p>
        </w:tc>
        <w:tc>
          <w:tcPr>
            <w:tcW w:w="1369" w:type="dxa"/>
            <w:vMerge w:val="restart"/>
            <w:noWrap w:val="0"/>
            <w:vAlign w:val="center"/>
          </w:tcPr>
          <w:p w14:paraId="338DFA4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lang w:val="en-US" w:eastAsia="zh-CN"/>
              </w:rPr>
            </w:pPr>
            <w:r>
              <w:rPr>
                <w:rFonts w:hint="default" w:ascii="Times New Roman" w:hAnsi="Times New Roman" w:cs="Times New Roman"/>
                <w:color w:val="auto"/>
                <w:sz w:val="21"/>
                <w:szCs w:val="21"/>
                <w:highlight w:val="none"/>
              </w:rPr>
              <w:t>Fluxgate Readout Meter</w:t>
            </w:r>
          </w:p>
        </w:tc>
        <w:tc>
          <w:tcPr>
            <w:tcW w:w="1209" w:type="dxa"/>
            <w:noWrap w:val="0"/>
            <w:vAlign w:val="center"/>
          </w:tcPr>
          <w:p w14:paraId="57A0C8D4">
            <w:pPr>
              <w:keepNext w:val="0"/>
              <w:keepLines w:val="0"/>
              <w:pageBreakBefore w:val="0"/>
              <w:widowControl/>
              <w:numPr>
                <w:ilvl w:val="0"/>
                <w:numId w:val="19"/>
              </w:numPr>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b w:val="0"/>
                <w:bCs w:val="0"/>
                <w:color w:val="auto"/>
                <w:sz w:val="22"/>
                <w:highlight w:val="none"/>
              </w:rPr>
            </w:pPr>
            <w:r>
              <w:rPr>
                <w:rFonts w:hint="default" w:ascii="Times New Roman" w:hAnsi="Times New Roman" w:eastAsia="宋体" w:cs="Times New Roman"/>
                <w:color w:val="auto"/>
                <w:sz w:val="21"/>
                <w:szCs w:val="21"/>
                <w:highlight w:val="none"/>
              </w:rPr>
              <w:t>Number of Axes: 1</w:t>
            </w:r>
            <w:r>
              <w:rPr>
                <w:rFonts w:hint="default" w:ascii="Times New Roman" w:hAnsi="Times New Roman" w:eastAsia="宋体" w:cs="Times New Roman"/>
                <w:color w:val="auto"/>
                <w:sz w:val="21"/>
                <w:szCs w:val="21"/>
                <w:highlight w:val="none"/>
                <w:lang w:val="en-US" w:eastAsia="zh-CN"/>
              </w:rPr>
              <w:t>.</w:t>
            </w:r>
          </w:p>
        </w:tc>
        <w:tc>
          <w:tcPr>
            <w:tcW w:w="789" w:type="pct"/>
            <w:noWrap w:val="0"/>
            <w:vAlign w:val="center"/>
          </w:tcPr>
          <w:p w14:paraId="278073FB">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rPr>
            </w:pPr>
          </w:p>
        </w:tc>
        <w:tc>
          <w:tcPr>
            <w:tcW w:w="1070" w:type="pct"/>
            <w:noWrap w:val="0"/>
            <w:vAlign w:val="center"/>
          </w:tcPr>
          <w:p w14:paraId="5A187084">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rPr>
            </w:pPr>
          </w:p>
        </w:tc>
        <w:tc>
          <w:tcPr>
            <w:tcW w:w="689" w:type="pct"/>
            <w:noWrap w:val="0"/>
            <w:vAlign w:val="center"/>
          </w:tcPr>
          <w:p w14:paraId="671E0C6A">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rPr>
            </w:pPr>
          </w:p>
        </w:tc>
      </w:tr>
      <w:tr w14:paraId="3B9B8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 w:type="pct"/>
            <w:noWrap w:val="0"/>
            <w:vAlign w:val="center"/>
          </w:tcPr>
          <w:p w14:paraId="4DD8EDB5">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2</w:t>
            </w:r>
          </w:p>
        </w:tc>
        <w:tc>
          <w:tcPr>
            <w:tcW w:w="753" w:type="dxa"/>
            <w:vMerge w:val="continue"/>
            <w:noWrap w:val="0"/>
            <w:vAlign w:val="center"/>
          </w:tcPr>
          <w:p w14:paraId="44AD734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32875B7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6E0334B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val="0"/>
                <w:bCs w:val="0"/>
                <w:color w:val="FF0000"/>
                <w:sz w:val="22"/>
                <w:highlight w:val="none"/>
                <w:lang w:eastAsia="zh-CN"/>
              </w:rPr>
            </w:pPr>
            <w:r>
              <w:rPr>
                <w:rFonts w:hint="default" w:ascii="Times New Roman" w:hAnsi="Times New Roman" w:eastAsia="宋体" w:cs="Times New Roman"/>
                <w:b w:val="0"/>
                <w:bCs w:val="0"/>
                <w:color w:val="FF0000"/>
                <w:sz w:val="21"/>
                <w:szCs w:val="21"/>
                <w:highlight w:val="none"/>
                <w:lang w:val="en-US" w:eastAsia="zh-CN"/>
              </w:rPr>
              <w:t xml:space="preserve">*2. </w:t>
            </w:r>
            <w:r>
              <w:rPr>
                <w:rFonts w:hint="default" w:ascii="Times New Roman" w:hAnsi="Times New Roman" w:eastAsia="宋体" w:cs="Times New Roman"/>
                <w:b w:val="0"/>
                <w:bCs w:val="0"/>
                <w:color w:val="FF0000"/>
                <w:sz w:val="21"/>
                <w:szCs w:val="21"/>
                <w:highlight w:val="none"/>
              </w:rPr>
              <w:t>Scaling error: ≤±0.25% @ Test Value</w:t>
            </w:r>
          </w:p>
        </w:tc>
        <w:tc>
          <w:tcPr>
            <w:tcW w:w="789" w:type="pct"/>
            <w:noWrap w:val="0"/>
            <w:vAlign w:val="center"/>
          </w:tcPr>
          <w:p w14:paraId="420AC8D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auto"/>
                <w:sz w:val="22"/>
                <w:highlight w:val="none"/>
              </w:rPr>
            </w:pPr>
          </w:p>
        </w:tc>
        <w:tc>
          <w:tcPr>
            <w:tcW w:w="1070" w:type="pct"/>
            <w:noWrap w:val="0"/>
            <w:vAlign w:val="center"/>
          </w:tcPr>
          <w:p w14:paraId="5EEAB970">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highlight w:val="none"/>
              </w:rPr>
            </w:pPr>
          </w:p>
        </w:tc>
        <w:tc>
          <w:tcPr>
            <w:tcW w:w="689" w:type="pct"/>
            <w:noWrap w:val="0"/>
            <w:vAlign w:val="center"/>
          </w:tcPr>
          <w:p w14:paraId="0B8A60CC">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highlight w:val="none"/>
              </w:rPr>
            </w:pPr>
          </w:p>
        </w:tc>
      </w:tr>
      <w:tr w14:paraId="1FF1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 w:type="pct"/>
            <w:noWrap w:val="0"/>
            <w:vAlign w:val="center"/>
          </w:tcPr>
          <w:p w14:paraId="4AA2D99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3</w:t>
            </w:r>
          </w:p>
        </w:tc>
        <w:tc>
          <w:tcPr>
            <w:tcW w:w="753" w:type="dxa"/>
            <w:vMerge w:val="continue"/>
            <w:noWrap w:val="0"/>
            <w:vAlign w:val="center"/>
          </w:tcPr>
          <w:p w14:paraId="71535B7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369" w:type="dxa"/>
            <w:vMerge w:val="continue"/>
            <w:noWrap w:val="0"/>
            <w:vAlign w:val="center"/>
          </w:tcPr>
          <w:p w14:paraId="4D36818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209" w:type="dxa"/>
            <w:noWrap w:val="0"/>
            <w:vAlign w:val="center"/>
          </w:tcPr>
          <w:p w14:paraId="2E23E22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val="0"/>
                <w:bCs w:val="0"/>
                <w:color w:val="FF0000"/>
                <w:sz w:val="22"/>
                <w:highlight w:val="none"/>
                <w:lang w:eastAsia="zh-CN"/>
              </w:rPr>
            </w:pPr>
            <w:r>
              <w:rPr>
                <w:rFonts w:hint="default" w:ascii="Times New Roman" w:hAnsi="Times New Roman" w:eastAsia="宋体" w:cs="Times New Roman"/>
                <w:b w:val="0"/>
                <w:bCs w:val="0"/>
                <w:color w:val="FF0000"/>
                <w:sz w:val="21"/>
                <w:szCs w:val="21"/>
                <w:highlight w:val="none"/>
                <w:lang w:val="en-US" w:eastAsia="zh-CN"/>
              </w:rPr>
              <w:t xml:space="preserve">*3. </w:t>
            </w:r>
            <w:r>
              <w:rPr>
                <w:rFonts w:hint="default" w:ascii="Times New Roman" w:hAnsi="Times New Roman" w:eastAsia="宋体" w:cs="Times New Roman"/>
                <w:b w:val="0"/>
                <w:bCs w:val="0"/>
                <w:color w:val="FF0000"/>
                <w:sz w:val="21"/>
                <w:szCs w:val="21"/>
                <w:highlight w:val="none"/>
              </w:rPr>
              <w:t>Resolution: ≤0.1 nT (Resolution of the complete system)</w:t>
            </w:r>
          </w:p>
        </w:tc>
        <w:tc>
          <w:tcPr>
            <w:tcW w:w="789" w:type="pct"/>
            <w:noWrap w:val="0"/>
            <w:vAlign w:val="center"/>
          </w:tcPr>
          <w:p w14:paraId="4557C823">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auto"/>
                <w:sz w:val="22"/>
                <w:highlight w:val="none"/>
              </w:rPr>
            </w:pPr>
          </w:p>
        </w:tc>
        <w:tc>
          <w:tcPr>
            <w:tcW w:w="1070" w:type="pct"/>
            <w:noWrap w:val="0"/>
            <w:vAlign w:val="center"/>
          </w:tcPr>
          <w:p w14:paraId="339B3411">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c>
          <w:tcPr>
            <w:tcW w:w="689" w:type="pct"/>
            <w:noWrap w:val="0"/>
            <w:vAlign w:val="center"/>
          </w:tcPr>
          <w:p w14:paraId="329C25A7">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r>
      <w:tr w14:paraId="7866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 w:type="pct"/>
            <w:noWrap w:val="0"/>
            <w:vAlign w:val="center"/>
          </w:tcPr>
          <w:p w14:paraId="0F9A89E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4</w:t>
            </w:r>
          </w:p>
        </w:tc>
        <w:tc>
          <w:tcPr>
            <w:tcW w:w="753" w:type="dxa"/>
            <w:vMerge w:val="continue"/>
            <w:noWrap w:val="0"/>
            <w:vAlign w:val="center"/>
          </w:tcPr>
          <w:p w14:paraId="152DC35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369" w:type="dxa"/>
            <w:vMerge w:val="continue"/>
            <w:noWrap w:val="0"/>
            <w:vAlign w:val="center"/>
          </w:tcPr>
          <w:p w14:paraId="7A7453A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209" w:type="dxa"/>
            <w:noWrap w:val="0"/>
            <w:vAlign w:val="center"/>
          </w:tcPr>
          <w:p w14:paraId="05B1646C">
            <w:pPr>
              <w:keepNext w:val="0"/>
              <w:keepLines w:val="0"/>
              <w:pageBreakBefore w:val="0"/>
              <w:widowControl/>
              <w:numPr>
                <w:ilvl w:val="0"/>
                <w:numId w:val="0"/>
              </w:numPr>
              <w:suppressLineNumbers w:val="0"/>
              <w:kinsoku/>
              <w:wordWrap/>
              <w:overflowPunct/>
              <w:topLinePunct w:val="0"/>
              <w:bidi w:val="0"/>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z w:val="22"/>
                <w:highlight w:val="none"/>
              </w:rPr>
            </w:pPr>
            <w:r>
              <w:rPr>
                <w:rFonts w:hint="default" w:ascii="Times New Roman" w:hAnsi="Times New Roman" w:eastAsia="宋体" w:cs="Times New Roman"/>
                <w:color w:val="auto"/>
                <w:sz w:val="21"/>
                <w:szCs w:val="21"/>
                <w:highlight w:val="none"/>
                <w:lang w:val="en-US" w:eastAsia="zh-CN"/>
              </w:rPr>
              <w:t xml:space="preserve">4. </w:t>
            </w:r>
            <w:r>
              <w:rPr>
                <w:rFonts w:hint="default" w:ascii="Times New Roman" w:hAnsi="Times New Roman" w:eastAsia="宋体" w:cs="Times New Roman"/>
                <w:color w:val="auto"/>
                <w:sz w:val="21"/>
                <w:szCs w:val="21"/>
                <w:highlight w:val="none"/>
              </w:rPr>
              <w:t>Equipped with analog output function</w:t>
            </w:r>
          </w:p>
        </w:tc>
        <w:tc>
          <w:tcPr>
            <w:tcW w:w="789" w:type="pct"/>
            <w:noWrap w:val="0"/>
            <w:vAlign w:val="center"/>
          </w:tcPr>
          <w:p w14:paraId="79CF471C">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c>
          <w:tcPr>
            <w:tcW w:w="1070" w:type="pct"/>
            <w:noWrap w:val="0"/>
            <w:vAlign w:val="center"/>
          </w:tcPr>
          <w:p w14:paraId="0FAE1A5D">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lang w:val="en-US" w:eastAsia="zh-CN"/>
              </w:rPr>
            </w:pPr>
          </w:p>
        </w:tc>
        <w:tc>
          <w:tcPr>
            <w:tcW w:w="689" w:type="pct"/>
            <w:noWrap w:val="0"/>
            <w:vAlign w:val="center"/>
          </w:tcPr>
          <w:p w14:paraId="7FCF62DC">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lang w:val="en-US" w:eastAsia="zh-CN"/>
              </w:rPr>
            </w:pPr>
          </w:p>
        </w:tc>
      </w:tr>
      <w:tr w14:paraId="09AD1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 w:type="pct"/>
            <w:noWrap w:val="0"/>
            <w:vAlign w:val="center"/>
          </w:tcPr>
          <w:p w14:paraId="501840F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5</w:t>
            </w:r>
          </w:p>
        </w:tc>
        <w:tc>
          <w:tcPr>
            <w:tcW w:w="753" w:type="dxa"/>
            <w:vMerge w:val="continue"/>
            <w:noWrap w:val="0"/>
            <w:vAlign w:val="center"/>
          </w:tcPr>
          <w:p w14:paraId="1DB34BE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369" w:type="dxa"/>
            <w:vMerge w:val="continue"/>
            <w:noWrap w:val="0"/>
            <w:vAlign w:val="center"/>
          </w:tcPr>
          <w:p w14:paraId="48C7205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209" w:type="dxa"/>
            <w:noWrap w:val="0"/>
            <w:vAlign w:val="center"/>
          </w:tcPr>
          <w:p w14:paraId="4EEC10BE">
            <w:pPr>
              <w:keepNext w:val="0"/>
              <w:keepLines w:val="0"/>
              <w:pageBreakBefore w:val="0"/>
              <w:widowControl/>
              <w:numPr>
                <w:ilvl w:val="0"/>
                <w:numId w:val="20"/>
              </w:numPr>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1"/>
                <w:szCs w:val="21"/>
                <w:highlight w:val="none"/>
              </w:rPr>
              <w:t>Suitable for 220V 50Hz power supply</w:t>
            </w:r>
          </w:p>
        </w:tc>
        <w:tc>
          <w:tcPr>
            <w:tcW w:w="789" w:type="pct"/>
            <w:noWrap w:val="0"/>
            <w:vAlign w:val="center"/>
          </w:tcPr>
          <w:p w14:paraId="52F5815F">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sz w:val="22"/>
                <w:highlight w:val="none"/>
                <w:lang w:val="en-US" w:eastAsia="zh-CN"/>
              </w:rPr>
            </w:pPr>
          </w:p>
        </w:tc>
        <w:tc>
          <w:tcPr>
            <w:tcW w:w="1070" w:type="pct"/>
            <w:noWrap w:val="0"/>
            <w:vAlign w:val="center"/>
          </w:tcPr>
          <w:p w14:paraId="63E1D3E8">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000000"/>
                <w:sz w:val="22"/>
                <w:lang w:val="en-US" w:eastAsia="zh-CN"/>
              </w:rPr>
            </w:pPr>
          </w:p>
        </w:tc>
        <w:tc>
          <w:tcPr>
            <w:tcW w:w="689" w:type="pct"/>
            <w:noWrap w:val="0"/>
            <w:vAlign w:val="center"/>
          </w:tcPr>
          <w:p w14:paraId="7546C3B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000000"/>
                <w:sz w:val="22"/>
                <w:lang w:val="en-US" w:eastAsia="zh-CN"/>
              </w:rPr>
            </w:pPr>
          </w:p>
        </w:tc>
      </w:tr>
      <w:tr w14:paraId="55D3D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 w:type="pct"/>
            <w:noWrap w:val="0"/>
            <w:vAlign w:val="center"/>
          </w:tcPr>
          <w:p w14:paraId="1B4CD2F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6</w:t>
            </w:r>
          </w:p>
        </w:tc>
        <w:tc>
          <w:tcPr>
            <w:tcW w:w="753" w:type="dxa"/>
            <w:vMerge w:val="continue"/>
            <w:noWrap w:val="0"/>
            <w:vAlign w:val="center"/>
          </w:tcPr>
          <w:p w14:paraId="665A289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369" w:type="dxa"/>
            <w:vMerge w:val="continue"/>
            <w:noWrap w:val="0"/>
            <w:vAlign w:val="center"/>
          </w:tcPr>
          <w:p w14:paraId="6814CB2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rPr>
            </w:pPr>
          </w:p>
        </w:tc>
        <w:tc>
          <w:tcPr>
            <w:tcW w:w="1209" w:type="dxa"/>
            <w:noWrap w:val="0"/>
            <w:vAlign w:val="center"/>
          </w:tcPr>
          <w:p w14:paraId="5292295C">
            <w:pPr>
              <w:keepNext w:val="0"/>
              <w:keepLines w:val="0"/>
              <w:pageBreakBefore w:val="0"/>
              <w:widowControl/>
              <w:numPr>
                <w:ilvl w:val="0"/>
                <w:numId w:val="20"/>
              </w:numPr>
              <w:suppressLineNumbers w:val="0"/>
              <w:kinsoku/>
              <w:wordWrap/>
              <w:overflowPunct/>
              <w:topLinePunct w:val="0"/>
              <w:bidi w:val="0"/>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color w:val="auto"/>
                <w:kern w:val="2"/>
                <w:sz w:val="22"/>
                <w:szCs w:val="22"/>
                <w:highlight w:val="none"/>
                <w:lang w:val="en-US" w:eastAsia="zh-CN" w:bidi="ar-SA"/>
              </w:rPr>
            </w:pPr>
            <w:r>
              <w:rPr>
                <w:rFonts w:hint="default" w:ascii="Times New Roman" w:hAnsi="Times New Roman" w:eastAsia="宋体" w:cs="Times New Roman"/>
                <w:color w:val="auto"/>
                <w:sz w:val="21"/>
                <w:szCs w:val="21"/>
                <w:highlight w:val="none"/>
              </w:rPr>
              <w:t>Scale Temperature Coefficient: ≤10ppm/℃</w:t>
            </w:r>
          </w:p>
        </w:tc>
        <w:tc>
          <w:tcPr>
            <w:tcW w:w="789" w:type="pct"/>
            <w:noWrap w:val="0"/>
            <w:vAlign w:val="center"/>
          </w:tcPr>
          <w:p w14:paraId="067E0D1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c>
          <w:tcPr>
            <w:tcW w:w="1070" w:type="pct"/>
            <w:noWrap w:val="0"/>
            <w:vAlign w:val="center"/>
          </w:tcPr>
          <w:p w14:paraId="0FA8FD89">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c>
          <w:tcPr>
            <w:tcW w:w="689" w:type="pct"/>
            <w:noWrap w:val="0"/>
            <w:vAlign w:val="center"/>
          </w:tcPr>
          <w:p w14:paraId="6771445B">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r>
      <w:tr w14:paraId="11B9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1317CAC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7</w:t>
            </w:r>
          </w:p>
        </w:tc>
        <w:tc>
          <w:tcPr>
            <w:tcW w:w="753" w:type="dxa"/>
            <w:vMerge w:val="continue"/>
            <w:noWrap w:val="0"/>
            <w:vAlign w:val="center"/>
          </w:tcPr>
          <w:p w14:paraId="069F710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rPr>
            </w:pPr>
          </w:p>
        </w:tc>
        <w:tc>
          <w:tcPr>
            <w:tcW w:w="1369" w:type="dxa"/>
            <w:vMerge w:val="continue"/>
            <w:noWrap w:val="0"/>
            <w:vAlign w:val="center"/>
          </w:tcPr>
          <w:p w14:paraId="1AB6C84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rPr>
            </w:pPr>
          </w:p>
        </w:tc>
        <w:tc>
          <w:tcPr>
            <w:tcW w:w="1209" w:type="dxa"/>
            <w:noWrap w:val="0"/>
            <w:vAlign w:val="center"/>
          </w:tcPr>
          <w:p w14:paraId="6CBD27F4">
            <w:pPr>
              <w:keepNext w:val="0"/>
              <w:keepLines w:val="0"/>
              <w:pageBreakBefore w:val="0"/>
              <w:widowControl/>
              <w:numPr>
                <w:ilvl w:val="0"/>
                <w:numId w:val="20"/>
              </w:numPr>
              <w:suppressLineNumbers w:val="0"/>
              <w:kinsoku/>
              <w:wordWrap/>
              <w:overflowPunct/>
              <w:topLinePunct w:val="0"/>
              <w:bidi w:val="0"/>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kern w:val="2"/>
                <w:sz w:val="22"/>
                <w:szCs w:val="22"/>
                <w:highlight w:val="none"/>
                <w:lang w:val="en-US" w:eastAsia="zh-CN" w:bidi="ar-SA"/>
              </w:rPr>
            </w:pPr>
            <w:r>
              <w:rPr>
                <w:rFonts w:hint="default" w:ascii="Times New Roman" w:hAnsi="Times New Roman" w:eastAsia="宋体" w:cs="Times New Roman"/>
                <w:color w:val="auto"/>
                <w:sz w:val="21"/>
                <w:szCs w:val="21"/>
                <w:highlight w:val="none"/>
              </w:rPr>
              <w:t>Offset Temperature Coefficient: ≤0.01nT/℃</w:t>
            </w:r>
          </w:p>
        </w:tc>
        <w:tc>
          <w:tcPr>
            <w:tcW w:w="789" w:type="pct"/>
            <w:noWrap w:val="0"/>
            <w:vAlign w:val="center"/>
          </w:tcPr>
          <w:p w14:paraId="0159228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c>
          <w:tcPr>
            <w:tcW w:w="1070" w:type="pct"/>
            <w:noWrap w:val="0"/>
            <w:vAlign w:val="center"/>
          </w:tcPr>
          <w:p w14:paraId="438C4A8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c>
          <w:tcPr>
            <w:tcW w:w="689" w:type="pct"/>
            <w:noWrap w:val="0"/>
            <w:vAlign w:val="center"/>
          </w:tcPr>
          <w:p w14:paraId="73D8AFE0">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r>
      <w:tr w14:paraId="19C3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3486DAB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8</w:t>
            </w:r>
          </w:p>
        </w:tc>
        <w:tc>
          <w:tcPr>
            <w:tcW w:w="753" w:type="dxa"/>
            <w:vMerge w:val="continue"/>
            <w:noWrap w:val="0"/>
            <w:vAlign w:val="center"/>
          </w:tcPr>
          <w:p w14:paraId="152A9DA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rPr>
            </w:pPr>
          </w:p>
        </w:tc>
        <w:tc>
          <w:tcPr>
            <w:tcW w:w="1369" w:type="dxa"/>
            <w:vMerge w:val="continue"/>
            <w:noWrap w:val="0"/>
            <w:vAlign w:val="center"/>
          </w:tcPr>
          <w:p w14:paraId="2EEED81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rPr>
            </w:pPr>
          </w:p>
        </w:tc>
        <w:tc>
          <w:tcPr>
            <w:tcW w:w="1209" w:type="dxa"/>
            <w:noWrap w:val="0"/>
            <w:vAlign w:val="center"/>
          </w:tcPr>
          <w:p w14:paraId="1479453B">
            <w:pPr>
              <w:keepNext w:val="0"/>
              <w:keepLines w:val="0"/>
              <w:pageBreakBefore w:val="0"/>
              <w:widowControl/>
              <w:numPr>
                <w:ilvl w:val="0"/>
                <w:numId w:val="20"/>
              </w:numPr>
              <w:suppressLineNumbers w:val="0"/>
              <w:kinsoku/>
              <w:wordWrap/>
              <w:overflowPunct/>
              <w:topLinePunct w:val="0"/>
              <w:bidi w:val="0"/>
              <w:snapToGrid/>
              <w:spacing w:before="0" w:beforeAutospacing="0" w:after="0" w:afterAutospacing="0" w:line="240" w:lineRule="auto"/>
              <w:ind w:left="0" w:leftChars="0" w:right="0" w:rightChars="0" w:firstLine="0" w:firstLineChars="0"/>
              <w:textAlignment w:val="auto"/>
              <w:rPr>
                <w:rFonts w:hint="default" w:ascii="Times New Roman" w:hAnsi="Times New Roman" w:eastAsia="宋体" w:cs="Times New Roman"/>
                <w:b/>
                <w:bCs/>
                <w:color w:val="auto"/>
                <w:kern w:val="2"/>
                <w:sz w:val="22"/>
                <w:szCs w:val="22"/>
                <w:highlight w:val="none"/>
                <w:lang w:val="en-US" w:eastAsia="zh-CN" w:bidi="ar-SA"/>
              </w:rPr>
            </w:pPr>
            <w:r>
              <w:rPr>
                <w:rFonts w:hint="default" w:ascii="Times New Roman" w:hAnsi="Times New Roman" w:eastAsia="宋体" w:cs="Times New Roman"/>
                <w:color w:val="auto"/>
                <w:sz w:val="21"/>
                <w:szCs w:val="21"/>
                <w:highlight w:val="none"/>
              </w:rPr>
              <w:t>The bidding (response) documents shall provide color brochures of the tendered product</w:t>
            </w:r>
          </w:p>
        </w:tc>
        <w:tc>
          <w:tcPr>
            <w:tcW w:w="789" w:type="pct"/>
            <w:noWrap w:val="0"/>
            <w:vAlign w:val="center"/>
          </w:tcPr>
          <w:p w14:paraId="14CA4EED">
            <w:pPr>
              <w:keepNext w:val="0"/>
              <w:keepLines w:val="0"/>
              <w:widowControl/>
              <w:suppressLineNumbers w:val="0"/>
              <w:spacing w:before="0" w:beforeAutospacing="0" w:after="0" w:afterAutospacing="0"/>
              <w:ind w:left="0" w:right="0"/>
              <w:rPr>
                <w:rStyle w:val="54"/>
                <w:rFonts w:hint="default" w:ascii="Times New Roman" w:hAnsi="Times New Roman" w:eastAsia="宋体" w:cs="Times New Roman"/>
                <w:b/>
                <w:bCs/>
                <w:color w:val="auto"/>
                <w:sz w:val="22"/>
                <w:highlight w:val="none"/>
                <w:lang w:val="en-US" w:eastAsia="zh-CN"/>
              </w:rPr>
            </w:pPr>
          </w:p>
        </w:tc>
        <w:tc>
          <w:tcPr>
            <w:tcW w:w="1070" w:type="pct"/>
            <w:noWrap w:val="0"/>
            <w:vAlign w:val="center"/>
          </w:tcPr>
          <w:p w14:paraId="5C0AA756">
            <w:pPr>
              <w:keepNext w:val="0"/>
              <w:keepLines w:val="0"/>
              <w:widowControl/>
              <w:suppressLineNumbers w:val="0"/>
              <w:spacing w:before="0" w:beforeAutospacing="0" w:after="0" w:afterAutospacing="0"/>
              <w:ind w:left="0" w:right="0"/>
              <w:rPr>
                <w:rStyle w:val="54"/>
                <w:rFonts w:hint="default" w:ascii="Times New Roman" w:hAnsi="Times New Roman" w:eastAsia="宋体" w:cs="Times New Roman"/>
                <w:b/>
                <w:bCs/>
                <w:color w:val="auto"/>
                <w:sz w:val="22"/>
                <w:lang w:val="en-US" w:eastAsia="zh-CN"/>
              </w:rPr>
            </w:pPr>
          </w:p>
        </w:tc>
        <w:tc>
          <w:tcPr>
            <w:tcW w:w="689" w:type="pct"/>
            <w:noWrap w:val="0"/>
            <w:vAlign w:val="center"/>
          </w:tcPr>
          <w:p w14:paraId="4DB2A045">
            <w:pPr>
              <w:keepNext w:val="0"/>
              <w:keepLines w:val="0"/>
              <w:widowControl/>
              <w:suppressLineNumbers w:val="0"/>
              <w:spacing w:before="0" w:beforeAutospacing="0" w:after="0" w:afterAutospacing="0"/>
              <w:ind w:left="0" w:right="0"/>
              <w:rPr>
                <w:rStyle w:val="54"/>
                <w:rFonts w:hint="default" w:ascii="Times New Roman" w:hAnsi="Times New Roman" w:eastAsia="宋体" w:cs="Times New Roman"/>
                <w:b/>
                <w:bCs/>
                <w:color w:val="auto"/>
                <w:sz w:val="22"/>
                <w:lang w:val="en-US" w:eastAsia="zh-CN"/>
              </w:rPr>
            </w:pPr>
          </w:p>
        </w:tc>
      </w:tr>
      <w:tr w14:paraId="4F08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52A97A3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9</w:t>
            </w:r>
          </w:p>
        </w:tc>
        <w:tc>
          <w:tcPr>
            <w:tcW w:w="753" w:type="dxa"/>
            <w:vMerge w:val="continue"/>
            <w:noWrap w:val="0"/>
            <w:vAlign w:val="center"/>
          </w:tcPr>
          <w:p w14:paraId="728AE75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lang w:val="en-US" w:eastAsia="zh-CN"/>
              </w:rPr>
            </w:pPr>
          </w:p>
        </w:tc>
        <w:tc>
          <w:tcPr>
            <w:tcW w:w="1369" w:type="dxa"/>
            <w:vMerge w:val="restart"/>
            <w:noWrap w:val="0"/>
            <w:vAlign w:val="center"/>
          </w:tcPr>
          <w:p w14:paraId="1AFE940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2"/>
                <w:highlight w:val="none"/>
                <w:lang w:val="en-US"/>
              </w:rPr>
            </w:pPr>
            <w:r>
              <w:rPr>
                <w:rFonts w:hint="default" w:ascii="Times New Roman" w:hAnsi="Times New Roman" w:cs="Times New Roman"/>
                <w:color w:val="auto"/>
                <w:highlight w:val="none"/>
              </w:rPr>
              <w:t>Fluxgate Probe</w:t>
            </w:r>
          </w:p>
        </w:tc>
        <w:tc>
          <w:tcPr>
            <w:tcW w:w="1209" w:type="dxa"/>
            <w:noWrap w:val="0"/>
            <w:vAlign w:val="center"/>
          </w:tcPr>
          <w:p w14:paraId="7700D9D1">
            <w:pPr>
              <w:keepNext w:val="0"/>
              <w:keepLines w:val="0"/>
              <w:pageBreakBefore w:val="0"/>
              <w:widowControl/>
              <w:numPr>
                <w:ilvl w:val="0"/>
                <w:numId w:val="21"/>
              </w:numPr>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b w:val="0"/>
                <w:bCs w:val="0"/>
                <w:color w:val="auto"/>
                <w:sz w:val="22"/>
                <w:highlight w:val="none"/>
                <w:lang w:eastAsia="zh-CN"/>
              </w:rPr>
            </w:pPr>
            <w:r>
              <w:rPr>
                <w:rFonts w:hint="default" w:ascii="Times New Roman" w:hAnsi="Times New Roman" w:cs="Times New Roman"/>
                <w:color w:val="auto"/>
                <w:highlight w:val="none"/>
              </w:rPr>
              <w:t>Number of axes: 1.</w:t>
            </w:r>
          </w:p>
        </w:tc>
        <w:tc>
          <w:tcPr>
            <w:tcW w:w="789" w:type="pct"/>
            <w:noWrap w:val="0"/>
            <w:vAlign w:val="center"/>
          </w:tcPr>
          <w:p w14:paraId="34BA56E2">
            <w:pPr>
              <w:keepNext w:val="0"/>
              <w:keepLines w:val="0"/>
              <w:widowControl/>
              <w:suppressLineNumbers w:val="0"/>
              <w:spacing w:before="0" w:beforeAutospacing="0" w:after="0" w:afterAutospacing="0"/>
              <w:ind w:left="0" w:right="0"/>
              <w:rPr>
                <w:rFonts w:hint="default" w:ascii="Times New Roman" w:hAnsi="Times New Roman" w:eastAsia="宋体" w:cs="Times New Roman"/>
                <w:b w:val="0"/>
                <w:bCs w:val="0"/>
                <w:color w:val="auto"/>
                <w:sz w:val="22"/>
                <w:highlight w:val="none"/>
              </w:rPr>
            </w:pPr>
          </w:p>
        </w:tc>
        <w:tc>
          <w:tcPr>
            <w:tcW w:w="1070" w:type="pct"/>
            <w:noWrap w:val="0"/>
            <w:vAlign w:val="center"/>
          </w:tcPr>
          <w:p w14:paraId="4661AA99">
            <w:pPr>
              <w:keepNext w:val="0"/>
              <w:keepLines w:val="0"/>
              <w:widowControl/>
              <w:suppressLineNumbers w:val="0"/>
              <w:spacing w:before="0" w:beforeAutospacing="0" w:after="0" w:afterAutospacing="0"/>
              <w:ind w:left="0" w:right="0"/>
              <w:rPr>
                <w:rFonts w:hint="default" w:ascii="Times New Roman" w:hAnsi="Times New Roman" w:eastAsia="宋体" w:cs="Times New Roman"/>
                <w:b w:val="0"/>
                <w:bCs w:val="0"/>
                <w:color w:val="auto"/>
                <w:sz w:val="22"/>
              </w:rPr>
            </w:pPr>
          </w:p>
        </w:tc>
        <w:tc>
          <w:tcPr>
            <w:tcW w:w="689" w:type="pct"/>
            <w:noWrap w:val="0"/>
            <w:vAlign w:val="center"/>
          </w:tcPr>
          <w:p w14:paraId="370758D5">
            <w:pPr>
              <w:keepNext w:val="0"/>
              <w:keepLines w:val="0"/>
              <w:widowControl/>
              <w:suppressLineNumbers w:val="0"/>
              <w:spacing w:before="0" w:beforeAutospacing="0" w:after="0" w:afterAutospacing="0"/>
              <w:ind w:left="0" w:right="0"/>
              <w:rPr>
                <w:rFonts w:hint="default" w:ascii="Times New Roman" w:hAnsi="Times New Roman" w:eastAsia="宋体" w:cs="Times New Roman"/>
                <w:b w:val="0"/>
                <w:bCs w:val="0"/>
                <w:color w:val="auto"/>
                <w:sz w:val="22"/>
              </w:rPr>
            </w:pPr>
          </w:p>
        </w:tc>
      </w:tr>
      <w:tr w14:paraId="271A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040A8CAE">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10</w:t>
            </w:r>
          </w:p>
        </w:tc>
        <w:tc>
          <w:tcPr>
            <w:tcW w:w="753" w:type="dxa"/>
            <w:vMerge w:val="continue"/>
            <w:noWrap w:val="0"/>
            <w:vAlign w:val="center"/>
          </w:tcPr>
          <w:p w14:paraId="3E3EE6F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00DBE8E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1763C6A3">
            <w:pPr>
              <w:keepNext w:val="0"/>
              <w:keepLines w:val="0"/>
              <w:pageBreakBefore w:val="0"/>
              <w:widowControl/>
              <w:numPr>
                <w:ilvl w:val="0"/>
                <w:numId w:val="21"/>
              </w:numPr>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b w:val="0"/>
                <w:bCs w:val="0"/>
                <w:color w:val="auto"/>
                <w:sz w:val="22"/>
                <w:highlight w:val="none"/>
                <w:lang w:eastAsia="zh-CN"/>
              </w:rPr>
            </w:pPr>
            <w:r>
              <w:rPr>
                <w:rFonts w:hint="default" w:ascii="Times New Roman" w:hAnsi="Times New Roman" w:eastAsia="宋体" w:cs="Times New Roman"/>
                <w:color w:val="auto"/>
                <w:sz w:val="21"/>
                <w:szCs w:val="21"/>
                <w:highlight w:val="none"/>
              </w:rPr>
              <w:t>Scaling erro</w:t>
            </w:r>
            <w:r>
              <w:rPr>
                <w:rFonts w:hint="eastAsia" w:ascii="Times New Roman" w:hAnsi="Times New Roman" w:eastAsia="宋体" w:cs="Times New Roman"/>
                <w:color w:val="auto"/>
                <w:sz w:val="21"/>
                <w:szCs w:val="21"/>
                <w:highlight w:val="none"/>
                <w:lang w:val="en-US" w:eastAsia="zh-CN"/>
              </w:rPr>
              <w:t>r</w:t>
            </w:r>
            <w:r>
              <w:rPr>
                <w:rFonts w:hint="default" w:ascii="Times New Roman" w:hAnsi="Times New Roman" w:cs="Times New Roman"/>
                <w:color w:val="auto"/>
                <w:highlight w:val="none"/>
              </w:rPr>
              <w:t xml:space="preserve">: </w:t>
            </w:r>
            <w:r>
              <w:rPr>
                <w:rFonts w:hint="default" w:ascii="Times New Roman" w:hAnsi="Times New Roman" w:cs="Times New Roman"/>
                <w:color w:val="auto"/>
                <w:highlight w:val="none"/>
                <w:lang w:val="en-US" w:eastAsia="zh-CN"/>
              </w:rPr>
              <w:t>≤±</w:t>
            </w:r>
            <w:r>
              <w:rPr>
                <w:rFonts w:hint="default" w:ascii="Times New Roman" w:hAnsi="Times New Roman" w:cs="Times New Roman"/>
                <w:color w:val="auto"/>
                <w:highlight w:val="none"/>
              </w:rPr>
              <w:t>1% @ measured value.</w:t>
            </w:r>
          </w:p>
        </w:tc>
        <w:tc>
          <w:tcPr>
            <w:tcW w:w="789" w:type="pct"/>
            <w:noWrap w:val="0"/>
            <w:vAlign w:val="center"/>
          </w:tcPr>
          <w:p w14:paraId="23031C94">
            <w:pPr>
              <w:keepNext w:val="0"/>
              <w:keepLines w:val="0"/>
              <w:widowControl/>
              <w:suppressLineNumbers w:val="0"/>
              <w:spacing w:before="0" w:beforeAutospacing="0" w:after="0" w:afterAutospacing="0"/>
              <w:ind w:left="0" w:right="0"/>
              <w:rPr>
                <w:rFonts w:hint="default" w:ascii="Times New Roman" w:hAnsi="Times New Roman" w:eastAsia="宋体" w:cs="Times New Roman"/>
                <w:b w:val="0"/>
                <w:bCs w:val="0"/>
                <w:color w:val="auto"/>
                <w:sz w:val="22"/>
                <w:highlight w:val="none"/>
              </w:rPr>
            </w:pPr>
          </w:p>
        </w:tc>
        <w:tc>
          <w:tcPr>
            <w:tcW w:w="1070" w:type="pct"/>
            <w:noWrap w:val="0"/>
            <w:vAlign w:val="center"/>
          </w:tcPr>
          <w:p w14:paraId="38E9BF86">
            <w:pPr>
              <w:keepNext w:val="0"/>
              <w:keepLines w:val="0"/>
              <w:widowControl/>
              <w:suppressLineNumbers w:val="0"/>
              <w:spacing w:before="0" w:beforeAutospacing="0" w:after="0" w:afterAutospacing="0"/>
              <w:ind w:left="0" w:right="0"/>
              <w:rPr>
                <w:rFonts w:hint="default" w:ascii="Times New Roman" w:hAnsi="Times New Roman" w:eastAsia="宋体" w:cs="Times New Roman"/>
                <w:b w:val="0"/>
                <w:bCs w:val="0"/>
                <w:color w:val="auto"/>
                <w:sz w:val="22"/>
              </w:rPr>
            </w:pPr>
          </w:p>
        </w:tc>
        <w:tc>
          <w:tcPr>
            <w:tcW w:w="689" w:type="pct"/>
            <w:noWrap w:val="0"/>
            <w:vAlign w:val="center"/>
          </w:tcPr>
          <w:p w14:paraId="75EADF00">
            <w:pPr>
              <w:keepNext w:val="0"/>
              <w:keepLines w:val="0"/>
              <w:widowControl/>
              <w:suppressLineNumbers w:val="0"/>
              <w:spacing w:before="0" w:beforeAutospacing="0" w:after="0" w:afterAutospacing="0"/>
              <w:ind w:left="0" w:right="0"/>
              <w:rPr>
                <w:rFonts w:hint="default" w:ascii="Times New Roman" w:hAnsi="Times New Roman" w:eastAsia="宋体" w:cs="Times New Roman"/>
                <w:b w:val="0"/>
                <w:bCs w:val="0"/>
                <w:color w:val="auto"/>
                <w:sz w:val="22"/>
              </w:rPr>
            </w:pPr>
          </w:p>
        </w:tc>
      </w:tr>
      <w:tr w14:paraId="0B56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080BB738">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11</w:t>
            </w:r>
          </w:p>
        </w:tc>
        <w:tc>
          <w:tcPr>
            <w:tcW w:w="753" w:type="dxa"/>
            <w:vMerge w:val="continue"/>
            <w:noWrap w:val="0"/>
            <w:vAlign w:val="center"/>
          </w:tcPr>
          <w:p w14:paraId="023DA29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0CE81C0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4DD2821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FF0000"/>
                <w:sz w:val="22"/>
                <w:highlight w:val="none"/>
                <w:lang w:eastAsia="zh-CN"/>
              </w:rPr>
            </w:pPr>
            <w:r>
              <w:rPr>
                <w:rFonts w:hint="default" w:ascii="Times New Roman" w:hAnsi="Times New Roman" w:eastAsia="宋体" w:cs="Times New Roman"/>
                <w:bCs/>
                <w:color w:val="FF0000"/>
                <w:szCs w:val="21"/>
                <w:highlight w:val="none"/>
              </w:rPr>
              <w:t>*3. Measuring Range: ≥±0.2 mT</w:t>
            </w:r>
          </w:p>
        </w:tc>
        <w:tc>
          <w:tcPr>
            <w:tcW w:w="789" w:type="pct"/>
            <w:noWrap w:val="0"/>
            <w:vAlign w:val="center"/>
          </w:tcPr>
          <w:p w14:paraId="5FB29B92">
            <w:pPr>
              <w:keepNext w:val="0"/>
              <w:keepLines w:val="0"/>
              <w:widowControl/>
              <w:suppressLineNumbers w:val="0"/>
              <w:spacing w:before="0" w:beforeAutospacing="0" w:after="0" w:afterAutospacing="0"/>
              <w:ind w:left="0" w:right="0"/>
              <w:rPr>
                <w:rFonts w:hint="default" w:ascii="Times New Roman" w:hAnsi="Times New Roman" w:eastAsia="宋体" w:cs="Times New Roman"/>
                <w:b/>
                <w:bCs/>
                <w:color w:val="auto"/>
                <w:sz w:val="22"/>
                <w:highlight w:val="none"/>
              </w:rPr>
            </w:pPr>
          </w:p>
        </w:tc>
        <w:tc>
          <w:tcPr>
            <w:tcW w:w="1070" w:type="pct"/>
            <w:noWrap w:val="0"/>
            <w:vAlign w:val="center"/>
          </w:tcPr>
          <w:p w14:paraId="225220DA">
            <w:pPr>
              <w:keepNext w:val="0"/>
              <w:keepLines w:val="0"/>
              <w:widowControl/>
              <w:suppressLineNumbers w:val="0"/>
              <w:spacing w:before="0" w:beforeAutospacing="0" w:after="0" w:afterAutospacing="0"/>
              <w:ind w:left="0" w:right="0"/>
              <w:rPr>
                <w:rFonts w:hint="default" w:ascii="Times New Roman" w:hAnsi="Times New Roman" w:eastAsia="宋体" w:cs="Times New Roman"/>
                <w:b/>
                <w:bCs/>
                <w:color w:val="FF0000"/>
                <w:sz w:val="22"/>
              </w:rPr>
            </w:pPr>
          </w:p>
        </w:tc>
        <w:tc>
          <w:tcPr>
            <w:tcW w:w="689" w:type="pct"/>
            <w:noWrap w:val="0"/>
            <w:vAlign w:val="center"/>
          </w:tcPr>
          <w:p w14:paraId="615EB27A">
            <w:pPr>
              <w:keepNext w:val="0"/>
              <w:keepLines w:val="0"/>
              <w:widowControl/>
              <w:suppressLineNumbers w:val="0"/>
              <w:spacing w:before="0" w:beforeAutospacing="0" w:after="0" w:afterAutospacing="0"/>
              <w:ind w:left="0" w:right="0"/>
              <w:rPr>
                <w:rFonts w:hint="default" w:ascii="Times New Roman" w:hAnsi="Times New Roman" w:eastAsia="宋体" w:cs="Times New Roman"/>
                <w:b/>
                <w:bCs/>
                <w:color w:val="FF0000"/>
                <w:sz w:val="22"/>
              </w:rPr>
            </w:pPr>
          </w:p>
        </w:tc>
      </w:tr>
      <w:tr w14:paraId="108D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1014FEB6">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12</w:t>
            </w:r>
          </w:p>
        </w:tc>
        <w:tc>
          <w:tcPr>
            <w:tcW w:w="753" w:type="dxa"/>
            <w:vMerge w:val="continue"/>
            <w:noWrap w:val="0"/>
            <w:vAlign w:val="center"/>
          </w:tcPr>
          <w:p w14:paraId="7ED03BD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09BBB59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46768E6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FF0000"/>
                <w:sz w:val="22"/>
                <w:highlight w:val="none"/>
                <w:lang w:val="en-US" w:eastAsia="zh-CN"/>
              </w:rPr>
            </w:pPr>
            <w:r>
              <w:rPr>
                <w:rFonts w:hint="default" w:ascii="Times New Roman" w:hAnsi="Times New Roman" w:eastAsia="宋体" w:cs="Times New Roman"/>
                <w:bCs/>
                <w:color w:val="FF0000"/>
                <w:szCs w:val="21"/>
                <w:highlight w:val="none"/>
              </w:rPr>
              <w:t>*4. Operating Temperature: Covers the temperature range from liquid helium (2 K) to 293 K.</w:t>
            </w:r>
          </w:p>
        </w:tc>
        <w:tc>
          <w:tcPr>
            <w:tcW w:w="789" w:type="pct"/>
            <w:noWrap w:val="0"/>
            <w:vAlign w:val="center"/>
          </w:tcPr>
          <w:p w14:paraId="531411E8">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auto"/>
                <w:sz w:val="22"/>
                <w:highlight w:val="none"/>
              </w:rPr>
            </w:pPr>
          </w:p>
        </w:tc>
        <w:tc>
          <w:tcPr>
            <w:tcW w:w="1070" w:type="pct"/>
            <w:noWrap w:val="0"/>
            <w:vAlign w:val="center"/>
          </w:tcPr>
          <w:p w14:paraId="4B5C532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c>
          <w:tcPr>
            <w:tcW w:w="689" w:type="pct"/>
            <w:noWrap w:val="0"/>
            <w:vAlign w:val="center"/>
          </w:tcPr>
          <w:p w14:paraId="1B5106C0">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r>
      <w:tr w14:paraId="1238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32DE3F2B">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13</w:t>
            </w:r>
          </w:p>
        </w:tc>
        <w:tc>
          <w:tcPr>
            <w:tcW w:w="753" w:type="dxa"/>
            <w:vMerge w:val="continue"/>
            <w:noWrap w:val="0"/>
            <w:vAlign w:val="center"/>
          </w:tcPr>
          <w:p w14:paraId="58953DC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4E4DA72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71B2CC4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val="0"/>
                <w:bCs w:val="0"/>
                <w:color w:val="auto"/>
                <w:sz w:val="22"/>
                <w:highlight w:val="none"/>
                <w:lang w:val="en-US" w:eastAsia="zh-CN"/>
              </w:rPr>
            </w:pPr>
            <w:r>
              <w:rPr>
                <w:rFonts w:hint="default" w:ascii="Times New Roman" w:hAnsi="Times New Roman" w:eastAsia="宋体" w:cs="Times New Roman"/>
                <w:bCs/>
                <w:color w:val="auto"/>
                <w:szCs w:val="21"/>
                <w:highlight w:val="none"/>
              </w:rPr>
              <w:t>5. Scal</w:t>
            </w:r>
            <w:r>
              <w:rPr>
                <w:rFonts w:hint="eastAsia" w:ascii="Times New Roman" w:hAnsi="Times New Roman" w:eastAsia="宋体" w:cs="Times New Roman"/>
                <w:bCs/>
                <w:color w:val="auto"/>
                <w:szCs w:val="21"/>
                <w:highlight w:val="none"/>
                <w:lang w:val="en-US" w:eastAsia="zh-CN"/>
              </w:rPr>
              <w:t>ing</w:t>
            </w:r>
            <w:r>
              <w:rPr>
                <w:rFonts w:hint="default" w:ascii="Times New Roman" w:hAnsi="Times New Roman" w:eastAsia="宋体" w:cs="Times New Roman"/>
                <w:bCs/>
                <w:color w:val="auto"/>
                <w:szCs w:val="21"/>
                <w:highlight w:val="none"/>
              </w:rPr>
              <w:t xml:space="preserve"> Temperature Coefficient: ≤±10ppm/℃</w:t>
            </w:r>
          </w:p>
        </w:tc>
        <w:tc>
          <w:tcPr>
            <w:tcW w:w="789" w:type="pct"/>
            <w:noWrap w:val="0"/>
            <w:vAlign w:val="center"/>
          </w:tcPr>
          <w:p w14:paraId="0BEF38BC">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c>
          <w:tcPr>
            <w:tcW w:w="1070" w:type="pct"/>
            <w:noWrap w:val="0"/>
            <w:vAlign w:val="center"/>
          </w:tcPr>
          <w:p w14:paraId="632EBE7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lang w:val="en-US" w:eastAsia="zh-CN"/>
              </w:rPr>
            </w:pPr>
          </w:p>
        </w:tc>
        <w:tc>
          <w:tcPr>
            <w:tcW w:w="689" w:type="pct"/>
            <w:noWrap w:val="0"/>
            <w:vAlign w:val="center"/>
          </w:tcPr>
          <w:p w14:paraId="32C1C3A9">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lang w:val="en-US" w:eastAsia="zh-CN"/>
              </w:rPr>
            </w:pPr>
          </w:p>
        </w:tc>
      </w:tr>
      <w:tr w14:paraId="28E9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76C0586B">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14</w:t>
            </w:r>
          </w:p>
        </w:tc>
        <w:tc>
          <w:tcPr>
            <w:tcW w:w="753" w:type="dxa"/>
            <w:vMerge w:val="continue"/>
            <w:noWrap w:val="0"/>
            <w:vAlign w:val="center"/>
          </w:tcPr>
          <w:p w14:paraId="668B146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06C9A2D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6BF835E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bCs/>
                <w:color w:val="FF0000"/>
                <w:sz w:val="22"/>
                <w:highlight w:val="none"/>
                <w:lang w:val="en-US" w:eastAsia="zh-CN"/>
              </w:rPr>
            </w:pPr>
            <w:r>
              <w:rPr>
                <w:rFonts w:hint="default" w:ascii="Times New Roman" w:hAnsi="Times New Roman" w:eastAsia="宋体" w:cs="Times New Roman"/>
                <w:bCs/>
                <w:color w:val="FF0000"/>
                <w:szCs w:val="21"/>
                <w:highlight w:val="none"/>
              </w:rPr>
              <w:t>*6. Linearity: ≤0.01%</w:t>
            </w:r>
          </w:p>
        </w:tc>
        <w:tc>
          <w:tcPr>
            <w:tcW w:w="789" w:type="pct"/>
            <w:noWrap w:val="0"/>
            <w:vAlign w:val="center"/>
          </w:tcPr>
          <w:p w14:paraId="452CCBD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auto"/>
                <w:sz w:val="22"/>
                <w:highlight w:val="none"/>
              </w:rPr>
            </w:pPr>
          </w:p>
        </w:tc>
        <w:tc>
          <w:tcPr>
            <w:tcW w:w="1070" w:type="pct"/>
            <w:noWrap w:val="0"/>
            <w:vAlign w:val="center"/>
          </w:tcPr>
          <w:p w14:paraId="4FF6940E">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c>
          <w:tcPr>
            <w:tcW w:w="689" w:type="pct"/>
            <w:noWrap w:val="0"/>
            <w:vAlign w:val="center"/>
          </w:tcPr>
          <w:p w14:paraId="5F9B81A1">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r>
      <w:tr w14:paraId="1F8C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09D6B363">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15</w:t>
            </w:r>
          </w:p>
        </w:tc>
        <w:tc>
          <w:tcPr>
            <w:tcW w:w="753" w:type="dxa"/>
            <w:vMerge w:val="continue"/>
            <w:noWrap w:val="0"/>
            <w:vAlign w:val="center"/>
          </w:tcPr>
          <w:p w14:paraId="073DA23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4C7A771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0FAB293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bCs/>
                <w:color w:val="FF0000"/>
                <w:sz w:val="22"/>
                <w:highlight w:val="none"/>
                <w:lang w:val="en-US" w:eastAsia="zh-CN"/>
              </w:rPr>
            </w:pPr>
            <w:r>
              <w:rPr>
                <w:rFonts w:hint="default" w:ascii="Times New Roman" w:hAnsi="Times New Roman" w:eastAsia="宋体" w:cs="Times New Roman"/>
                <w:bCs/>
                <w:color w:val="FF0000"/>
                <w:szCs w:val="21"/>
                <w:highlight w:val="none"/>
              </w:rPr>
              <w:t>*7. Cable Length: The length of low-temperature fine wire (2 K temperature resistant) ≥ 5 m</w:t>
            </w:r>
          </w:p>
        </w:tc>
        <w:tc>
          <w:tcPr>
            <w:tcW w:w="789" w:type="pct"/>
            <w:noWrap w:val="0"/>
            <w:vAlign w:val="center"/>
          </w:tcPr>
          <w:p w14:paraId="1E34FA7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auto"/>
                <w:sz w:val="22"/>
                <w:highlight w:val="none"/>
              </w:rPr>
            </w:pPr>
          </w:p>
        </w:tc>
        <w:tc>
          <w:tcPr>
            <w:tcW w:w="1070" w:type="pct"/>
            <w:noWrap w:val="0"/>
            <w:vAlign w:val="center"/>
          </w:tcPr>
          <w:p w14:paraId="4C557D55">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c>
          <w:tcPr>
            <w:tcW w:w="689" w:type="pct"/>
            <w:noWrap w:val="0"/>
            <w:vAlign w:val="center"/>
          </w:tcPr>
          <w:p w14:paraId="4605B906">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bCs/>
                <w:color w:val="FF0000"/>
                <w:sz w:val="22"/>
              </w:rPr>
            </w:pPr>
          </w:p>
        </w:tc>
      </w:tr>
      <w:tr w14:paraId="3CE9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5" w:type="pct"/>
            <w:noWrap w:val="0"/>
            <w:vAlign w:val="center"/>
          </w:tcPr>
          <w:p w14:paraId="3311124A">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2"/>
                <w:highlight w:val="none"/>
                <w:lang w:val="en-US" w:eastAsia="zh-CN"/>
              </w:rPr>
            </w:pPr>
            <w:r>
              <w:rPr>
                <w:rFonts w:hint="default" w:ascii="Times New Roman" w:hAnsi="Times New Roman" w:eastAsia="宋体" w:cs="Times New Roman"/>
                <w:color w:val="auto"/>
                <w:sz w:val="22"/>
                <w:highlight w:val="none"/>
                <w:lang w:val="en-US" w:eastAsia="zh-CN"/>
              </w:rPr>
              <w:t>16</w:t>
            </w:r>
          </w:p>
        </w:tc>
        <w:tc>
          <w:tcPr>
            <w:tcW w:w="753" w:type="dxa"/>
            <w:vMerge w:val="continue"/>
            <w:noWrap w:val="0"/>
            <w:vAlign w:val="center"/>
          </w:tcPr>
          <w:p w14:paraId="4211ECE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369" w:type="dxa"/>
            <w:vMerge w:val="continue"/>
            <w:noWrap w:val="0"/>
            <w:vAlign w:val="center"/>
          </w:tcPr>
          <w:p w14:paraId="3A03BF3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textAlignment w:val="auto"/>
              <w:rPr>
                <w:rFonts w:hint="default" w:ascii="Times New Roman" w:hAnsi="Times New Roman" w:eastAsia="宋体" w:cs="Times New Roman"/>
                <w:color w:val="auto"/>
                <w:sz w:val="22"/>
                <w:highlight w:val="none"/>
                <w:lang w:val="en-US" w:eastAsia="zh-CN"/>
              </w:rPr>
            </w:pPr>
          </w:p>
        </w:tc>
        <w:tc>
          <w:tcPr>
            <w:tcW w:w="1209" w:type="dxa"/>
            <w:noWrap w:val="0"/>
            <w:vAlign w:val="center"/>
          </w:tcPr>
          <w:p w14:paraId="7C29A5AF">
            <w:pPr>
              <w:keepNext w:val="0"/>
              <w:keepLines w:val="0"/>
              <w:widowControl/>
              <w:suppressLineNumbers w:val="0"/>
              <w:spacing w:before="0" w:beforeAutospacing="0" w:after="0" w:afterAutospacing="0" w:line="240" w:lineRule="auto"/>
              <w:ind w:left="0" w:right="0"/>
              <w:jc w:val="both"/>
              <w:rPr>
                <w:rFonts w:hint="default" w:eastAsia="宋体"/>
                <w:color w:val="auto"/>
                <w:highlight w:val="none"/>
                <w:lang w:val="en-US" w:eastAsia="zh-CN"/>
              </w:rPr>
            </w:pPr>
            <w:r>
              <w:rPr>
                <w:rFonts w:hint="default" w:ascii="Times New Roman" w:hAnsi="Times New Roman" w:eastAsia="宋体" w:cs="Times New Roman"/>
                <w:bCs/>
                <w:color w:val="auto"/>
                <w:szCs w:val="21"/>
                <w:highlight w:val="none"/>
              </w:rPr>
              <w:t xml:space="preserve">8. Offset </w:t>
            </w:r>
            <w:r>
              <w:rPr>
                <w:rFonts w:hint="eastAsia" w:ascii="Times New Roman" w:hAnsi="Times New Roman" w:eastAsia="宋体" w:cs="Times New Roman"/>
                <w:bCs/>
                <w:color w:val="auto"/>
                <w:szCs w:val="21"/>
                <w:highlight w:val="none"/>
                <w:lang w:val="en-US" w:eastAsia="zh-CN"/>
              </w:rPr>
              <w:t>in zero field</w:t>
            </w:r>
          </w:p>
          <w:p w14:paraId="6E6BE8A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b w:val="0"/>
                <w:bCs w:val="0"/>
                <w:color w:val="auto"/>
                <w:sz w:val="22"/>
                <w:highlight w:val="none"/>
                <w:lang w:val="en-US" w:eastAsia="zh-CN"/>
              </w:rPr>
            </w:pPr>
            <w:r>
              <w:rPr>
                <w:rFonts w:hint="default" w:ascii="Times New Roman" w:hAnsi="Times New Roman" w:eastAsia="宋体" w:cs="Times New Roman"/>
                <w:bCs/>
                <w:color w:val="auto"/>
                <w:szCs w:val="21"/>
                <w:highlight w:val="none"/>
              </w:rPr>
              <w:t>: ≤±5 nT</w:t>
            </w:r>
          </w:p>
        </w:tc>
        <w:tc>
          <w:tcPr>
            <w:tcW w:w="789" w:type="pct"/>
            <w:noWrap w:val="0"/>
            <w:vAlign w:val="center"/>
          </w:tcPr>
          <w:p w14:paraId="18644CE8">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highlight w:val="none"/>
                <w:lang w:val="en-US" w:eastAsia="zh-CN"/>
              </w:rPr>
            </w:pPr>
          </w:p>
        </w:tc>
        <w:tc>
          <w:tcPr>
            <w:tcW w:w="1070" w:type="pct"/>
            <w:noWrap w:val="0"/>
            <w:vAlign w:val="center"/>
          </w:tcPr>
          <w:p w14:paraId="1651D503">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lang w:val="en-US" w:eastAsia="zh-CN"/>
              </w:rPr>
            </w:pPr>
          </w:p>
        </w:tc>
        <w:tc>
          <w:tcPr>
            <w:tcW w:w="689" w:type="pct"/>
            <w:noWrap w:val="0"/>
            <w:vAlign w:val="center"/>
          </w:tcPr>
          <w:p w14:paraId="50894428">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 w:val="0"/>
                <w:bCs w:val="0"/>
                <w:color w:val="auto"/>
                <w:sz w:val="22"/>
                <w:lang w:val="en-US" w:eastAsia="zh-CN"/>
              </w:rPr>
            </w:pPr>
          </w:p>
        </w:tc>
      </w:tr>
    </w:tbl>
    <w:p w14:paraId="40E129D4">
      <w:pPr>
        <w:widowControl/>
        <w:kinsoku w:val="0"/>
        <w:autoSpaceDE w:val="0"/>
        <w:autoSpaceDN w:val="0"/>
        <w:adjustRightInd w:val="0"/>
        <w:snapToGrid w:val="0"/>
        <w:spacing w:before="78" w:line="220" w:lineRule="auto"/>
        <w:ind w:left="125"/>
        <w:jc w:val="left"/>
        <w:textAlignment w:val="baseline"/>
        <w:rPr>
          <w:rFonts w:ascii="Times New Roman" w:hAnsi="Times New Roman" w:eastAsia="宋体" w:cs="Times New Roman"/>
          <w:snapToGrid w:val="0"/>
          <w:color w:val="000000"/>
          <w:spacing w:val="-24"/>
          <w:kern w:val="0"/>
          <w:sz w:val="24"/>
          <w:szCs w:val="24"/>
          <w:highlight w:val="none"/>
          <w:lang w:eastAsia="en-US"/>
        </w:rPr>
      </w:pPr>
    </w:p>
    <w:p w14:paraId="0FF9E5C2">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lang w:eastAsia="en-US"/>
        </w:rPr>
      </w:pPr>
    </w:p>
    <w:p w14:paraId="0B4490B5">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lang w:eastAsia="en-US"/>
        </w:rPr>
      </w:pPr>
    </w:p>
    <w:p w14:paraId="3F86A8C6">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lang w:eastAsia="en-US"/>
        </w:rPr>
      </w:pPr>
    </w:p>
    <w:p w14:paraId="1F9D3544">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snapToGrid w:val="0"/>
        </w:rPr>
      </w:pPr>
      <w:r>
        <w:rPr>
          <w:rFonts w:ascii="Times New Roman" w:hAnsi="Times New Roman" w:cs="Times New Roman"/>
          <w:snapToGrid w:val="0"/>
        </w:rPr>
        <w:t xml:space="preserve">Signature of bidder's representative: </w:t>
      </w:r>
      <w:r>
        <w:rPr>
          <w:rFonts w:ascii="Times New Roman" w:hAnsi="Times New Roman" w:cs="Times New Roman"/>
          <w:snapToGrid w:val="0"/>
          <w:u w:val="single"/>
        </w:rPr>
        <w:t xml:space="preserve">                            </w:t>
      </w:r>
    </w:p>
    <w:p w14:paraId="6DCD90E3">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snapToGrid w:val="0"/>
        </w:rPr>
      </w:pPr>
      <w:r>
        <w:rPr>
          <w:rFonts w:ascii="Times New Roman" w:hAnsi="Times New Roman" w:cs="Times New Roman"/>
          <w:b/>
          <w:bCs/>
          <w:snapToGrid w:val="0"/>
        </w:rPr>
        <w:t>Note: The bidder shall, with reference to the technical specifications and requirements of the tender document, state article by article that the goods and services provided have substantially responded to the technical specifications of the bidding document, and state the deviation and exception from the provisions of the technical specifications. Especially for the indicators with specific parameter requirements, the bidder must provide the specific parameter values of the equipment.</w:t>
      </w:r>
    </w:p>
    <w:p w14:paraId="1F6028D6">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snapToGrid w:val="0"/>
        </w:rPr>
      </w:pPr>
    </w:p>
    <w:p w14:paraId="59F4C876">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color w:val="000000"/>
          <w:szCs w:val="24"/>
        </w:rPr>
      </w:pPr>
      <w:r>
        <w:rPr>
          <w:rFonts w:ascii="Times New Roman" w:hAnsi="Times New Roman" w:cs="Times New Roman"/>
        </w:rPr>
        <w:br w:type="page"/>
      </w:r>
    </w:p>
    <w:p w14:paraId="2CF70F87">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b/>
          <w:bCs/>
          <w:szCs w:val="24"/>
        </w:rPr>
      </w:pPr>
      <w:r>
        <w:rPr>
          <w:rFonts w:ascii="Times New Roman" w:hAnsi="Times New Roman" w:cs="Times New Roman"/>
          <w:b/>
          <w:bCs/>
        </w:rPr>
        <w:t>Format IV-6. Format of Business Terms Response / Deviation Tables</w:t>
      </w:r>
    </w:p>
    <w:p w14:paraId="5C039F87">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snapToGrid w:val="0"/>
        </w:rPr>
      </w:pPr>
    </w:p>
    <w:p w14:paraId="11EECD69">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snapToGrid w:val="0"/>
          <w:sz w:val="24"/>
          <w:szCs w:val="28"/>
        </w:rPr>
      </w:pPr>
    </w:p>
    <w:p w14:paraId="7133A97C">
      <w:pPr>
        <w:keepNext w:val="0"/>
        <w:keepLines w:val="0"/>
        <w:pageBreakBefore w:val="0"/>
        <w:kinsoku/>
        <w:wordWrap/>
        <w:overflowPunct/>
        <w:topLinePunct w:val="0"/>
        <w:bidi w:val="0"/>
        <w:snapToGrid/>
        <w:spacing w:beforeAutospacing="0" w:afterAutospacing="0" w:line="240" w:lineRule="auto"/>
        <w:jc w:val="center"/>
        <w:textAlignment w:val="auto"/>
        <w:rPr>
          <w:rFonts w:ascii="Times New Roman" w:hAnsi="Times New Roman" w:eastAsia="黑体" w:cs="Times New Roman"/>
          <w:b/>
          <w:bCs/>
          <w:snapToGrid w:val="0"/>
          <w:kern w:val="0"/>
          <w:sz w:val="24"/>
          <w:szCs w:val="36"/>
        </w:rPr>
      </w:pPr>
      <w:r>
        <w:rPr>
          <w:rFonts w:ascii="Times New Roman" w:hAnsi="Times New Roman" w:cs="Times New Roman"/>
          <w:b/>
          <w:bCs/>
          <w:snapToGrid w:val="0"/>
          <w:sz w:val="24"/>
          <w:szCs w:val="28"/>
        </w:rPr>
        <w:t>Business Terms Response / Deviation Tables</w:t>
      </w:r>
    </w:p>
    <w:p w14:paraId="3039699F">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rPr>
      </w:pPr>
    </w:p>
    <w:p w14:paraId="534746B0">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rPr>
      </w:pPr>
    </w:p>
    <w:p w14:paraId="70E4F304">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rPr>
      </w:pPr>
    </w:p>
    <w:p w14:paraId="4FD7B964">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snapToGrid w:val="0"/>
          <w:kern w:val="0"/>
          <w:szCs w:val="24"/>
        </w:rPr>
      </w:pPr>
      <w:r>
        <w:rPr>
          <w:rFonts w:ascii="Times New Roman" w:hAnsi="Times New Roman" w:cs="Times New Roman"/>
          <w:snapToGrid w:val="0"/>
        </w:rPr>
        <w:t xml:space="preserve">Name of bidder: </w:t>
      </w:r>
      <w:r>
        <w:rPr>
          <w:rFonts w:ascii="Times New Roman" w:hAnsi="Times New Roman" w:cs="Times New Roman"/>
          <w:snapToGrid w:val="0"/>
          <w:u w:val="single"/>
        </w:rPr>
        <w:t xml:space="preserve">               </w:t>
      </w:r>
      <w:r>
        <w:rPr>
          <w:rFonts w:ascii="Times New Roman" w:hAnsi="Times New Roman" w:cs="Times New Roman"/>
          <w:snapToGrid w:val="0"/>
        </w:rPr>
        <w:t xml:space="preserve"> Tender No.: </w:t>
      </w:r>
      <w:r>
        <w:rPr>
          <w:rFonts w:ascii="Times New Roman" w:hAnsi="Times New Roman" w:cs="Times New Roman"/>
          <w:snapToGrid w:val="0"/>
          <w:u w:val="single"/>
        </w:rPr>
        <w:t xml:space="preserve">             </w:t>
      </w:r>
      <w:r>
        <w:rPr>
          <w:rFonts w:ascii="Times New Roman" w:hAnsi="Times New Roman" w:cs="Times New Roman"/>
          <w:snapToGrid w:val="0"/>
        </w:rPr>
        <w:t xml:space="preserve"> Subcontract No.: </w:t>
      </w:r>
      <w:r>
        <w:rPr>
          <w:rFonts w:ascii="Times New Roman" w:hAnsi="Times New Roman" w:cs="Times New Roman"/>
          <w:snapToGrid w:val="0"/>
          <w:u w:val="single"/>
        </w:rPr>
        <w:t xml:space="preserve">               </w:t>
      </w:r>
    </w:p>
    <w:p w14:paraId="30571D8C">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402"/>
        <w:gridCol w:w="1922"/>
        <w:gridCol w:w="1279"/>
        <w:gridCol w:w="1861"/>
        <w:gridCol w:w="1196"/>
      </w:tblGrid>
      <w:tr w14:paraId="3C7D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0" w:type="auto"/>
            <w:noWrap w:val="0"/>
            <w:vAlign w:val="center"/>
          </w:tcPr>
          <w:p w14:paraId="5B209C1E">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color w:val="000000"/>
                <w:sz w:val="21"/>
                <w:szCs w:val="21"/>
                <w:highlight w:val="none"/>
              </w:rPr>
            </w:pPr>
            <w:r>
              <w:rPr>
                <w:rFonts w:hint="default" w:ascii="Times New Roman" w:hAnsi="Times New Roman" w:eastAsia="宋体" w:cs="Times New Roman"/>
                <w:sz w:val="21"/>
                <w:szCs w:val="21"/>
              </w:rPr>
              <w:t>Serial number</w:t>
            </w:r>
          </w:p>
        </w:tc>
        <w:tc>
          <w:tcPr>
            <w:tcW w:w="0" w:type="auto"/>
            <w:noWrap w:val="0"/>
            <w:vAlign w:val="center"/>
          </w:tcPr>
          <w:p w14:paraId="48419D1D">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color w:val="000000"/>
                <w:sz w:val="21"/>
                <w:szCs w:val="21"/>
                <w:highlight w:val="none"/>
              </w:rPr>
            </w:pPr>
            <w:r>
              <w:rPr>
                <w:rFonts w:hint="default" w:ascii="Times New Roman" w:hAnsi="Times New Roman" w:eastAsia="宋体" w:cs="Times New Roman"/>
                <w:sz w:val="21"/>
                <w:szCs w:val="21"/>
              </w:rPr>
              <w:t>Table of contents</w:t>
            </w:r>
          </w:p>
        </w:tc>
        <w:tc>
          <w:tcPr>
            <w:tcW w:w="0" w:type="auto"/>
            <w:noWrap w:val="0"/>
            <w:vAlign w:val="center"/>
          </w:tcPr>
          <w:p w14:paraId="74948362">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sz w:val="21"/>
                <w:szCs w:val="21"/>
              </w:rPr>
              <w:t>Commercial Clauses of Bidding Documents</w:t>
            </w:r>
          </w:p>
        </w:tc>
        <w:tc>
          <w:tcPr>
            <w:tcW w:w="0" w:type="auto"/>
            <w:noWrap w:val="0"/>
            <w:vAlign w:val="center"/>
          </w:tcPr>
          <w:p w14:paraId="058FBDBE">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sz w:val="21"/>
                <w:szCs w:val="21"/>
              </w:rPr>
              <w:t>Commercial Clauses of Bidding Proposal Documents</w:t>
            </w:r>
          </w:p>
        </w:tc>
        <w:tc>
          <w:tcPr>
            <w:tcW w:w="0" w:type="auto"/>
            <w:noWrap w:val="0"/>
            <w:vAlign w:val="center"/>
          </w:tcPr>
          <w:p w14:paraId="18CDDEBF">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napToGrid w:val="0"/>
                <w:color w:val="000000"/>
                <w:spacing w:val="-2"/>
                <w:kern w:val="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Response/deviation</w:t>
            </w:r>
          </w:p>
        </w:tc>
        <w:tc>
          <w:tcPr>
            <w:tcW w:w="0" w:type="auto"/>
            <w:noWrap w:val="0"/>
            <w:vAlign w:val="center"/>
          </w:tcPr>
          <w:p w14:paraId="13564803">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napToGrid w:val="0"/>
                <w:color w:val="000000"/>
                <w:spacing w:val="-2"/>
                <w:kern w:val="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Description</w:t>
            </w:r>
          </w:p>
        </w:tc>
      </w:tr>
      <w:tr w14:paraId="33C0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0" w:type="auto"/>
            <w:vMerge w:val="restart"/>
            <w:noWrap w:val="0"/>
            <w:vAlign w:val="center"/>
          </w:tcPr>
          <w:p w14:paraId="7D22FFC2">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bCs w:val="0"/>
                <w:color w:val="000000"/>
                <w:sz w:val="22"/>
                <w:szCs w:val="22"/>
                <w:highlight w:val="none"/>
              </w:rPr>
            </w:pPr>
            <w:r>
              <w:rPr>
                <w:rFonts w:hint="default" w:ascii="Times New Roman" w:hAnsi="Times New Roman" w:eastAsia="宋体" w:cs="Times New Roman"/>
                <w:b w:val="0"/>
                <w:bCs w:val="0"/>
                <w:color w:val="000000"/>
                <w:sz w:val="22"/>
                <w:szCs w:val="22"/>
                <w:highlight w:val="none"/>
              </w:rPr>
              <w:t>1</w:t>
            </w:r>
          </w:p>
        </w:tc>
        <w:tc>
          <w:tcPr>
            <w:tcW w:w="0" w:type="auto"/>
            <w:vMerge w:val="restart"/>
            <w:noWrap w:val="0"/>
            <w:vAlign w:val="center"/>
          </w:tcPr>
          <w:p w14:paraId="762E84A7">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sz w:val="22"/>
                <w:szCs w:val="22"/>
                <w:highlight w:val="none"/>
              </w:rPr>
            </w:pPr>
            <w:r>
              <w:rPr>
                <w:rFonts w:hint="default" w:ascii="Times New Roman" w:hAnsi="Times New Roman" w:eastAsia="宋体" w:cs="Times New Roman"/>
                <w:color w:val="FF0000"/>
                <w:sz w:val="21"/>
                <w:szCs w:val="21"/>
                <w:highlight w:val="none"/>
              </w:rPr>
              <w:t>*Delivery Requirements</w:t>
            </w:r>
          </w:p>
        </w:tc>
        <w:tc>
          <w:tcPr>
            <w:tcW w:w="0" w:type="auto"/>
            <w:noWrap w:val="0"/>
            <w:vAlign w:val="top"/>
          </w:tcPr>
          <w:p w14:paraId="71A023A1">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sz w:val="22"/>
                <w:szCs w:val="22"/>
                <w:highlight w:val="none"/>
              </w:rPr>
            </w:pPr>
            <w:r>
              <w:rPr>
                <w:rFonts w:hint="default" w:ascii="Times New Roman" w:hAnsi="Times New Roman" w:eastAsia="宋体" w:cs="Times New Roman"/>
                <w:color w:val="FF0000"/>
                <w:sz w:val="21"/>
                <w:szCs w:val="21"/>
                <w:highlight w:val="none"/>
              </w:rPr>
              <w:t>1.1 Delivery time requirement: Within 540 calendar days</w:t>
            </w:r>
            <w:r>
              <w:rPr>
                <w:rFonts w:hint="default" w:ascii="Times New Roman" w:hAnsi="Times New Roman" w:eastAsia="宋体" w:cs="Times New Roman"/>
                <w:color w:val="FF0000"/>
                <w:sz w:val="21"/>
                <w:szCs w:val="21"/>
                <w:highlight w:val="none"/>
                <w:lang w:val="en-US" w:eastAsia="zh-CN"/>
              </w:rPr>
              <w:t xml:space="preserve"> </w:t>
            </w:r>
            <w:r>
              <w:rPr>
                <w:rFonts w:hint="default" w:ascii="Times New Roman" w:hAnsi="Times New Roman" w:cs="Times New Roman"/>
                <w:b/>
                <w:bCs/>
                <w:color w:val="FF0000"/>
                <w:highlight w:val="none"/>
              </w:rPr>
              <w:t>(calendar days)</w:t>
            </w:r>
            <w:r>
              <w:rPr>
                <w:rFonts w:hint="default" w:ascii="Times New Roman" w:hAnsi="Times New Roman" w:eastAsia="宋体" w:cs="Times New Roman"/>
                <w:color w:val="FF0000"/>
                <w:sz w:val="21"/>
                <w:szCs w:val="21"/>
                <w:highlight w:val="none"/>
                <w:lang w:val="en-US" w:eastAsia="zh-CN"/>
              </w:rPr>
              <w:t xml:space="preserve"> </w:t>
            </w:r>
            <w:r>
              <w:rPr>
                <w:rFonts w:hint="default" w:ascii="Times New Roman" w:hAnsi="Times New Roman" w:eastAsia="宋体" w:cs="Times New Roman"/>
                <w:color w:val="FF0000"/>
                <w:sz w:val="21"/>
                <w:szCs w:val="21"/>
                <w:highlight w:val="none"/>
              </w:rPr>
              <w:t xml:space="preserve"> after the signing of the contract.</w:t>
            </w:r>
          </w:p>
        </w:tc>
        <w:tc>
          <w:tcPr>
            <w:tcW w:w="0" w:type="auto"/>
            <w:noWrap w:val="0"/>
            <w:vAlign w:val="top"/>
          </w:tcPr>
          <w:p w14:paraId="59469306">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rPr>
            </w:pPr>
          </w:p>
        </w:tc>
        <w:tc>
          <w:tcPr>
            <w:tcW w:w="0" w:type="auto"/>
            <w:noWrap w:val="0"/>
            <w:vAlign w:val="top"/>
          </w:tcPr>
          <w:p w14:paraId="521414DB">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rPr>
            </w:pPr>
          </w:p>
        </w:tc>
        <w:tc>
          <w:tcPr>
            <w:tcW w:w="0" w:type="auto"/>
            <w:noWrap w:val="0"/>
            <w:vAlign w:val="top"/>
          </w:tcPr>
          <w:p w14:paraId="7DF51B1C">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rPr>
            </w:pPr>
          </w:p>
        </w:tc>
      </w:tr>
      <w:tr w14:paraId="0A9E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0" w:type="auto"/>
            <w:vMerge w:val="continue"/>
            <w:noWrap w:val="0"/>
            <w:vAlign w:val="center"/>
          </w:tcPr>
          <w:p w14:paraId="7A11F509">
            <w:pPr>
              <w:keepNext w:val="0"/>
              <w:keepLines w:val="0"/>
              <w:widowControl/>
              <w:suppressLineNumbers w:val="0"/>
              <w:spacing w:before="0" w:beforeAutospacing="0" w:after="0" w:afterAutospacing="0" w:line="440" w:lineRule="exact"/>
              <w:ind w:left="0" w:right="0" w:firstLine="440" w:firstLineChars="200"/>
              <w:jc w:val="left"/>
              <w:rPr>
                <w:rFonts w:hint="default" w:ascii="Times New Roman" w:hAnsi="Times New Roman" w:eastAsia="宋体" w:cs="Times New Roman"/>
                <w:b w:val="0"/>
                <w:bCs w:val="0"/>
                <w:color w:val="000000"/>
                <w:sz w:val="22"/>
                <w:szCs w:val="22"/>
                <w:highlight w:val="none"/>
              </w:rPr>
            </w:pPr>
          </w:p>
        </w:tc>
        <w:tc>
          <w:tcPr>
            <w:tcW w:w="0" w:type="auto"/>
            <w:vMerge w:val="continue"/>
            <w:noWrap w:val="0"/>
            <w:vAlign w:val="center"/>
          </w:tcPr>
          <w:p w14:paraId="4C8C66B2">
            <w:pPr>
              <w:keepNext w:val="0"/>
              <w:keepLines w:val="0"/>
              <w:widowControl/>
              <w:suppressLineNumbers w:val="0"/>
              <w:spacing w:before="0" w:beforeAutospacing="0" w:after="0" w:afterAutospacing="0" w:line="440" w:lineRule="exact"/>
              <w:ind w:left="0" w:leftChars="0" w:right="0" w:rightChars="0" w:firstLine="442" w:firstLineChars="200"/>
              <w:jc w:val="both"/>
              <w:rPr>
                <w:rFonts w:hint="default" w:ascii="Times New Roman" w:hAnsi="Times New Roman" w:eastAsia="宋体" w:cs="Times New Roman"/>
                <w:b/>
                <w:bCs/>
                <w:color w:val="FF0000"/>
                <w:sz w:val="22"/>
                <w:szCs w:val="22"/>
                <w:highlight w:val="none"/>
              </w:rPr>
            </w:pPr>
          </w:p>
        </w:tc>
        <w:tc>
          <w:tcPr>
            <w:tcW w:w="0" w:type="auto"/>
            <w:noWrap w:val="0"/>
            <w:vAlign w:val="top"/>
          </w:tcPr>
          <w:p w14:paraId="3E5D9868">
            <w:pPr>
              <w:keepNext w:val="0"/>
              <w:keepLines w:val="0"/>
              <w:widowControl/>
              <w:suppressLineNumbers w:val="0"/>
              <w:spacing w:before="0" w:beforeAutospacing="0" w:after="0" w:afterAutospacing="0" w:line="240" w:lineRule="auto"/>
              <w:ind w:left="0" w:leftChars="0" w:right="0" w:rightChars="0" w:firstLine="0" w:firstLineChars="0"/>
              <w:jc w:val="both"/>
              <w:rPr>
                <w:rFonts w:hint="default" w:ascii="Times New Roman" w:hAnsi="Times New Roman" w:eastAsia="宋体" w:cs="Times New Roman"/>
                <w:b/>
                <w:bCs/>
                <w:color w:val="FF0000"/>
                <w:kern w:val="2"/>
                <w:sz w:val="22"/>
                <w:szCs w:val="22"/>
                <w:highlight w:val="none"/>
              </w:rPr>
            </w:pPr>
            <w:r>
              <w:rPr>
                <w:rFonts w:hint="default" w:ascii="Times New Roman" w:hAnsi="Times New Roman" w:eastAsia="宋体" w:cs="Times New Roman"/>
                <w:color w:val="FF0000"/>
                <w:sz w:val="21"/>
                <w:szCs w:val="21"/>
                <w:highlight w:val="none"/>
              </w:rPr>
              <w:t xml:space="preserve">1.2 </w:t>
            </w:r>
            <w:r>
              <w:rPr>
                <w:rFonts w:hint="default" w:ascii="Times New Roman" w:hAnsi="Times New Roman" w:cs="Times New Roman"/>
                <w:b/>
                <w:bCs/>
                <w:color w:val="FF0000"/>
                <w:highlight w:val="none"/>
              </w:rPr>
              <w:t>Obligations that the Bidder is required to assume, includ</w:t>
            </w:r>
            <w:r>
              <w:rPr>
                <w:rFonts w:hint="default" w:ascii="Times New Roman" w:hAnsi="Times New Roman" w:cs="Times New Roman"/>
                <w:b/>
                <w:bCs/>
                <w:color w:val="FF0000"/>
                <w:highlight w:val="none"/>
                <w:lang w:val="en-US" w:eastAsia="zh-CN"/>
              </w:rPr>
              <w:t>e</w:t>
            </w:r>
            <w:r>
              <w:rPr>
                <w:rFonts w:hint="default" w:ascii="Times New Roman" w:hAnsi="Times New Roman" w:cs="Times New Roman"/>
                <w:b/>
                <w:bCs/>
                <w:color w:val="FF0000"/>
                <w:highlight w:val="none"/>
              </w:rPr>
              <w:t xml:space="preserve"> the transportation, installation and commissioning, acceptance inspection of the equipment, and the provision of equipment operation manuals, drawings, and other similar obligations.</w:t>
            </w:r>
          </w:p>
        </w:tc>
        <w:tc>
          <w:tcPr>
            <w:tcW w:w="0" w:type="auto"/>
            <w:noWrap w:val="0"/>
            <w:vAlign w:val="top"/>
          </w:tcPr>
          <w:p w14:paraId="1D33FCAB">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rPr>
            </w:pPr>
          </w:p>
        </w:tc>
        <w:tc>
          <w:tcPr>
            <w:tcW w:w="0" w:type="auto"/>
            <w:noWrap w:val="0"/>
            <w:vAlign w:val="top"/>
          </w:tcPr>
          <w:p w14:paraId="328DA8DD">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rPr>
            </w:pPr>
          </w:p>
        </w:tc>
        <w:tc>
          <w:tcPr>
            <w:tcW w:w="0" w:type="auto"/>
            <w:noWrap w:val="0"/>
            <w:vAlign w:val="top"/>
          </w:tcPr>
          <w:p w14:paraId="2B362A4E">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rPr>
            </w:pPr>
          </w:p>
        </w:tc>
      </w:tr>
      <w:tr w14:paraId="4B2D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0" w:type="auto"/>
            <w:noWrap w:val="0"/>
            <w:vAlign w:val="center"/>
          </w:tcPr>
          <w:p w14:paraId="0C274D04">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宋体" w:cs="Times New Roman"/>
                <w:b w:val="0"/>
                <w:bCs w:val="0"/>
                <w:color w:val="000000"/>
                <w:sz w:val="22"/>
                <w:szCs w:val="22"/>
                <w:highlight w:val="none"/>
                <w:lang w:val="en-US" w:eastAsia="zh-CN"/>
              </w:rPr>
            </w:pPr>
            <w:r>
              <w:rPr>
                <w:rFonts w:hint="default" w:ascii="Times New Roman" w:hAnsi="Times New Roman" w:eastAsia="宋体" w:cs="Times New Roman"/>
                <w:b w:val="0"/>
                <w:bCs w:val="0"/>
                <w:color w:val="000000"/>
                <w:sz w:val="22"/>
                <w:szCs w:val="22"/>
                <w:highlight w:val="none"/>
                <w:lang w:val="en-US" w:eastAsia="zh-CN"/>
              </w:rPr>
              <w:t>2</w:t>
            </w:r>
          </w:p>
        </w:tc>
        <w:tc>
          <w:tcPr>
            <w:tcW w:w="0" w:type="auto"/>
            <w:noWrap w:val="0"/>
            <w:vAlign w:val="center"/>
          </w:tcPr>
          <w:p w14:paraId="6C85E8F2">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highlight w:val="none"/>
              </w:rPr>
            </w:pPr>
            <w:r>
              <w:rPr>
                <w:rFonts w:hint="default" w:ascii="Times New Roman" w:hAnsi="Times New Roman" w:eastAsia="宋体" w:cs="Times New Roman"/>
                <w:sz w:val="21"/>
                <w:szCs w:val="21"/>
                <w:highlight w:val="none"/>
              </w:rPr>
              <w:t>Performance bond payment</w:t>
            </w:r>
          </w:p>
        </w:tc>
        <w:tc>
          <w:tcPr>
            <w:tcW w:w="0" w:type="auto"/>
            <w:noWrap w:val="0"/>
            <w:vAlign w:val="top"/>
          </w:tcPr>
          <w:p w14:paraId="0A6874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 Paid at a fixed amount (  yuan)</w:t>
            </w:r>
          </w:p>
          <w:p w14:paraId="1E1175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color w:val="000000"/>
                <w:kern w:val="0"/>
                <w:sz w:val="21"/>
                <w:szCs w:val="21"/>
                <w:highlight w:val="none"/>
                <w:lang w:val="en-US" w:eastAsia="zh-CN" w:bidi="ar"/>
              </w:rPr>
            </w:pPr>
            <w:r>
              <w:rPr>
                <w:rFonts w:hint="default" w:ascii="Times New Roman" w:hAnsi="Times New Roman" w:eastAsia="宋体" w:cs="Times New Roman"/>
                <w:color w:val="000000"/>
                <w:kern w:val="0"/>
                <w:sz w:val="21"/>
                <w:szCs w:val="21"/>
                <w:highlight w:val="none"/>
                <w:lang w:val="en-US" w:eastAsia="zh-CN" w:bidi="ar"/>
              </w:rPr>
              <w:t>□ Paid as a percentage of the contract amount ( %)</w:t>
            </w:r>
          </w:p>
          <w:p w14:paraId="02E913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cs="Times New Roman"/>
                <w:color w:val="000000"/>
                <w:sz w:val="21"/>
                <w:szCs w:val="21"/>
                <w:highlight w:val="none"/>
              </w:rPr>
            </w:pPr>
            <w:r>
              <w:rPr>
                <w:rFonts w:hint="default" w:ascii="Times New Roman" w:hAnsi="Times New Roman" w:eastAsia="宋体" w:cs="Times New Roman"/>
                <w:color w:val="000000"/>
                <w:kern w:val="0"/>
                <w:sz w:val="21"/>
                <w:szCs w:val="21"/>
                <w:highlight w:val="none"/>
                <w:lang w:val="en-US" w:eastAsia="zh-CN" w:bidi="ar"/>
              </w:rPr>
              <w:t>☑ No payment required</w:t>
            </w:r>
          </w:p>
          <w:p w14:paraId="708445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eastAsia="宋体" w:cs="Times New Roman"/>
                <w:b w:val="0"/>
                <w:bCs w:val="0"/>
                <w:color w:val="auto"/>
                <w:sz w:val="22"/>
                <w:szCs w:val="22"/>
              </w:rPr>
            </w:pPr>
            <w:r>
              <w:rPr>
                <w:rFonts w:hint="default" w:ascii="Times New Roman" w:hAnsi="Times New Roman" w:eastAsia="宋体" w:cs="Times New Roman"/>
                <w:color w:val="000000"/>
                <w:kern w:val="0"/>
                <w:sz w:val="21"/>
                <w:szCs w:val="21"/>
                <w:highlight w:val="none"/>
                <w:lang w:val="en-US" w:eastAsia="zh-CN" w:bidi="ar"/>
              </w:rPr>
              <w:t>Performance bond payment method: □ Cheque □ Letter of guarantee □ Bank transfer □ Bill of exchange □ Promissory note □ Other non-cash methods</w:t>
            </w:r>
          </w:p>
        </w:tc>
        <w:tc>
          <w:tcPr>
            <w:tcW w:w="0" w:type="auto"/>
            <w:noWrap w:val="0"/>
            <w:vAlign w:val="top"/>
          </w:tcPr>
          <w:p w14:paraId="12893AF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c>
          <w:tcPr>
            <w:tcW w:w="0" w:type="auto"/>
            <w:noWrap w:val="0"/>
            <w:vAlign w:val="top"/>
          </w:tcPr>
          <w:p w14:paraId="2D146E0B">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c>
          <w:tcPr>
            <w:tcW w:w="0" w:type="auto"/>
            <w:noWrap w:val="0"/>
            <w:vAlign w:val="top"/>
          </w:tcPr>
          <w:p w14:paraId="4A9EEE75">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r>
      <w:tr w14:paraId="5F1D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0" w:type="auto"/>
            <w:vMerge w:val="restart"/>
            <w:noWrap w:val="0"/>
            <w:vAlign w:val="center"/>
          </w:tcPr>
          <w:p w14:paraId="17A6B631">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bCs w:val="0"/>
                <w:color w:val="auto"/>
                <w:sz w:val="22"/>
                <w:szCs w:val="22"/>
                <w:lang w:val="en-US" w:eastAsia="zh-CN"/>
              </w:rPr>
            </w:pPr>
            <w:r>
              <w:rPr>
                <w:rFonts w:hint="default" w:ascii="Times New Roman" w:hAnsi="Times New Roman" w:eastAsia="宋体" w:cs="Times New Roman"/>
                <w:b w:val="0"/>
                <w:bCs w:val="0"/>
                <w:color w:val="auto"/>
                <w:sz w:val="22"/>
                <w:szCs w:val="22"/>
                <w:lang w:val="en-US" w:eastAsia="zh-CN"/>
              </w:rPr>
              <w:t>3</w:t>
            </w:r>
          </w:p>
        </w:tc>
        <w:tc>
          <w:tcPr>
            <w:tcW w:w="0" w:type="auto"/>
            <w:vMerge w:val="restart"/>
            <w:noWrap w:val="0"/>
            <w:vAlign w:val="center"/>
          </w:tcPr>
          <w:p w14:paraId="634E1A81">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GB"/>
              </w:rPr>
            </w:pPr>
            <w:r>
              <w:rPr>
                <w:rFonts w:hint="default" w:ascii="Times New Roman" w:hAnsi="Times New Roman" w:eastAsia="宋体" w:cs="Times New Roman"/>
                <w:sz w:val="21"/>
                <w:szCs w:val="21"/>
                <w:highlight w:val="none"/>
              </w:rPr>
              <w:t>After-sales service requirements</w:t>
            </w:r>
          </w:p>
        </w:tc>
        <w:tc>
          <w:tcPr>
            <w:tcW w:w="0" w:type="auto"/>
            <w:noWrap w:val="0"/>
            <w:vAlign w:val="top"/>
          </w:tcPr>
          <w:p w14:paraId="55DA8F11">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GB"/>
              </w:rPr>
            </w:pPr>
            <w:r>
              <w:rPr>
                <w:rFonts w:hint="default" w:ascii="Times New Roman" w:hAnsi="Times New Roman" w:eastAsia="宋体" w:cs="Times New Roman"/>
                <w:color w:val="FF0000"/>
                <w:sz w:val="21"/>
                <w:szCs w:val="21"/>
                <w:highlight w:val="none"/>
              </w:rPr>
              <w:t xml:space="preserve">*3.1 The free warranty period of the goods is not less than 1 year, and the time is calculated from the date of final acceptance and delivery. In the event of any quality issue during the warranty period, the </w:t>
            </w:r>
            <w:r>
              <w:rPr>
                <w:rFonts w:hint="default" w:ascii="Times New Roman" w:hAnsi="Times New Roman" w:eastAsia="宋体" w:cs="Times New Roman"/>
                <w:color w:val="FF0000"/>
                <w:sz w:val="21"/>
                <w:szCs w:val="21"/>
                <w:highlight w:val="none"/>
                <w:lang w:val="en-US" w:eastAsia="zh-CN"/>
              </w:rPr>
              <w:t>bidd</w:t>
            </w:r>
            <w:r>
              <w:rPr>
                <w:rFonts w:hint="default" w:ascii="Times New Roman" w:hAnsi="Times New Roman" w:eastAsia="宋体" w:cs="Times New Roman"/>
                <w:color w:val="FF0000"/>
                <w:sz w:val="21"/>
                <w:szCs w:val="21"/>
                <w:highlight w:val="none"/>
              </w:rPr>
              <w:t>er guarantees to arrive at the site within 24 hours of receiving notification to perform repairs or replacements.</w:t>
            </w:r>
          </w:p>
        </w:tc>
        <w:tc>
          <w:tcPr>
            <w:tcW w:w="0" w:type="auto"/>
            <w:noWrap w:val="0"/>
            <w:vAlign w:val="top"/>
          </w:tcPr>
          <w:p w14:paraId="1140514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c>
          <w:tcPr>
            <w:tcW w:w="0" w:type="auto"/>
            <w:noWrap w:val="0"/>
            <w:vAlign w:val="top"/>
          </w:tcPr>
          <w:p w14:paraId="424BCF83">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c>
          <w:tcPr>
            <w:tcW w:w="0" w:type="auto"/>
            <w:noWrap w:val="0"/>
            <w:vAlign w:val="top"/>
          </w:tcPr>
          <w:p w14:paraId="013E3B6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r>
      <w:tr w14:paraId="0701A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0" w:type="auto"/>
            <w:vMerge w:val="continue"/>
            <w:noWrap w:val="0"/>
            <w:vAlign w:val="center"/>
          </w:tcPr>
          <w:p w14:paraId="473671E1">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bCs w:val="0"/>
                <w:color w:val="auto"/>
                <w:sz w:val="22"/>
                <w:szCs w:val="22"/>
                <w:lang w:val="en-GB"/>
              </w:rPr>
            </w:pPr>
          </w:p>
        </w:tc>
        <w:tc>
          <w:tcPr>
            <w:tcW w:w="0" w:type="auto"/>
            <w:vMerge w:val="continue"/>
            <w:noWrap w:val="0"/>
            <w:vAlign w:val="center"/>
          </w:tcPr>
          <w:p w14:paraId="5EC9B210">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GB"/>
              </w:rPr>
            </w:pPr>
          </w:p>
        </w:tc>
        <w:tc>
          <w:tcPr>
            <w:tcW w:w="0" w:type="auto"/>
            <w:noWrap w:val="0"/>
            <w:vAlign w:val="top"/>
          </w:tcPr>
          <w:p w14:paraId="29D25EE4">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GB"/>
              </w:rPr>
            </w:pPr>
            <w:r>
              <w:rPr>
                <w:rFonts w:hint="default" w:ascii="Times New Roman" w:hAnsi="Times New Roman" w:eastAsia="宋体" w:cs="Times New Roman"/>
                <w:sz w:val="21"/>
                <w:szCs w:val="21"/>
                <w:highlight w:val="none"/>
              </w:rPr>
              <w:t>3.2 The bidder shall carry out other after-sales service work in accordance with the commitments in its bidding documents. (Content of and requirements for after-sales service, proposed solutions for handling issues, warranty periods, as well as requirements for maintenance, technical training services, etc.)</w:t>
            </w:r>
          </w:p>
        </w:tc>
        <w:tc>
          <w:tcPr>
            <w:tcW w:w="0" w:type="auto"/>
            <w:noWrap w:val="0"/>
            <w:vAlign w:val="top"/>
          </w:tcPr>
          <w:p w14:paraId="7061F6F3">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2D97623F">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69887FC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r>
      <w:tr w14:paraId="0D36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2" w:hRule="atLeast"/>
        </w:trPr>
        <w:tc>
          <w:tcPr>
            <w:tcW w:w="0" w:type="auto"/>
            <w:vMerge w:val="continue"/>
            <w:noWrap w:val="0"/>
            <w:vAlign w:val="center"/>
          </w:tcPr>
          <w:p w14:paraId="21611C5D">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bCs w:val="0"/>
                <w:color w:val="auto"/>
                <w:sz w:val="22"/>
                <w:szCs w:val="22"/>
                <w:lang w:val="en-GB"/>
              </w:rPr>
            </w:pPr>
          </w:p>
        </w:tc>
        <w:tc>
          <w:tcPr>
            <w:tcW w:w="0" w:type="auto"/>
            <w:vMerge w:val="continue"/>
            <w:noWrap w:val="0"/>
            <w:vAlign w:val="center"/>
          </w:tcPr>
          <w:p w14:paraId="2E661577">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GB"/>
              </w:rPr>
            </w:pPr>
          </w:p>
        </w:tc>
        <w:tc>
          <w:tcPr>
            <w:tcW w:w="0" w:type="auto"/>
            <w:noWrap w:val="0"/>
            <w:vAlign w:val="top"/>
          </w:tcPr>
          <w:p w14:paraId="05A57365">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GB"/>
              </w:rPr>
            </w:pPr>
            <w:r>
              <w:rPr>
                <w:rFonts w:hint="default" w:ascii="Times New Roman" w:hAnsi="Times New Roman" w:eastAsia="宋体" w:cs="Times New Roman"/>
                <w:color w:val="FF0000"/>
                <w:sz w:val="21"/>
                <w:szCs w:val="21"/>
                <w:highlight w:val="none"/>
              </w:rPr>
              <w:t xml:space="preserve">*3.3 </w:t>
            </w:r>
            <w:r>
              <w:rPr>
                <w:rFonts w:hint="default" w:ascii="Times New Roman" w:hAnsi="Times New Roman" w:eastAsia="宋体" w:cs="Times New Roman"/>
                <w:color w:val="FF0000"/>
                <w:sz w:val="21"/>
                <w:szCs w:val="21"/>
                <w:highlight w:val="none"/>
                <w:lang w:val="en-US" w:eastAsia="zh-CN"/>
              </w:rPr>
              <w:t>T</w:t>
            </w:r>
            <w:r>
              <w:rPr>
                <w:rFonts w:hint="default" w:ascii="Times New Roman" w:hAnsi="Times New Roman" w:eastAsia="宋体" w:cs="Times New Roman"/>
                <w:color w:val="FF0000"/>
                <w:sz w:val="21"/>
                <w:szCs w:val="21"/>
                <w:highlight w:val="none"/>
              </w:rPr>
              <w:t>aking into account the Purchaser</w:t>
            </w:r>
            <w:r>
              <w:rPr>
                <w:rFonts w:hint="default" w:ascii="Times New Roman" w:hAnsi="Times New Roman" w:eastAsia="宋体" w:cs="Times New Roman"/>
                <w:color w:val="FF0000"/>
                <w:sz w:val="21"/>
                <w:szCs w:val="21"/>
                <w:highlight w:val="none"/>
                <w:lang w:val="en-US" w:eastAsia="zh-CN"/>
              </w:rPr>
              <w:t>'</w:t>
            </w:r>
            <w:r>
              <w:rPr>
                <w:rFonts w:hint="default" w:ascii="Times New Roman" w:hAnsi="Times New Roman" w:eastAsia="宋体" w:cs="Times New Roman"/>
                <w:color w:val="FF0000"/>
                <w:sz w:val="21"/>
                <w:szCs w:val="21"/>
                <w:highlight w:val="none"/>
              </w:rPr>
              <w:t>s specific circumstances, the Seller agrees to provide relocation services for the purchased instruments for one to two times. All costs arising therefrom</w:t>
            </w:r>
            <w:r>
              <w:rPr>
                <w:rFonts w:hint="default" w:ascii="Times New Roman" w:hAnsi="Times New Roman" w:eastAsia="宋体" w:cs="Times New Roman"/>
                <w:color w:val="FF0000"/>
                <w:sz w:val="21"/>
                <w:szCs w:val="21"/>
                <w:highlight w:val="none"/>
                <w:lang w:val="en-US" w:eastAsia="zh-CN"/>
              </w:rPr>
              <w:t xml:space="preserve">, </w:t>
            </w:r>
            <w:r>
              <w:rPr>
                <w:rFonts w:hint="default" w:ascii="Times New Roman" w:hAnsi="Times New Roman" w:eastAsia="宋体" w:cs="Times New Roman"/>
                <w:color w:val="FF0000"/>
                <w:sz w:val="21"/>
                <w:szCs w:val="21"/>
                <w:highlight w:val="none"/>
              </w:rPr>
              <w:t>including the dismantling and reassembly, commissioning, and training services for the instruments</w:t>
            </w:r>
            <w:r>
              <w:rPr>
                <w:rFonts w:hint="default" w:ascii="Times New Roman" w:hAnsi="Times New Roman" w:eastAsia="宋体" w:cs="Times New Roman"/>
                <w:color w:val="FF0000"/>
                <w:sz w:val="21"/>
                <w:szCs w:val="21"/>
                <w:highlight w:val="none"/>
                <w:lang w:val="en-US" w:eastAsia="zh-CN"/>
              </w:rPr>
              <w:t xml:space="preserve">, </w:t>
            </w:r>
            <w:r>
              <w:rPr>
                <w:rFonts w:hint="default" w:ascii="Times New Roman" w:hAnsi="Times New Roman" w:eastAsia="宋体" w:cs="Times New Roman"/>
                <w:color w:val="FF0000"/>
                <w:sz w:val="21"/>
                <w:szCs w:val="21"/>
                <w:highlight w:val="none"/>
              </w:rPr>
              <w:t>are included in the bid price, and the Purchaser shall not be required to pay any additional fees.</w:t>
            </w:r>
          </w:p>
        </w:tc>
        <w:tc>
          <w:tcPr>
            <w:tcW w:w="0" w:type="auto"/>
            <w:noWrap w:val="0"/>
            <w:vAlign w:val="top"/>
          </w:tcPr>
          <w:p w14:paraId="616B443E">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c>
          <w:tcPr>
            <w:tcW w:w="0" w:type="auto"/>
            <w:noWrap w:val="0"/>
            <w:vAlign w:val="top"/>
          </w:tcPr>
          <w:p w14:paraId="1B5E2A10">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c>
          <w:tcPr>
            <w:tcW w:w="0" w:type="auto"/>
            <w:noWrap w:val="0"/>
            <w:vAlign w:val="top"/>
          </w:tcPr>
          <w:p w14:paraId="3CC2CA7F">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rPr>
            </w:pPr>
          </w:p>
        </w:tc>
      </w:tr>
      <w:tr w14:paraId="0B49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0" w:type="auto"/>
            <w:vMerge w:val="restart"/>
            <w:noWrap w:val="0"/>
            <w:vAlign w:val="center"/>
          </w:tcPr>
          <w:p w14:paraId="4E65F3D8">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宋体" w:cs="Times New Roman"/>
                <w:b w:val="0"/>
                <w:bCs w:val="0"/>
                <w:color w:val="000000"/>
                <w:sz w:val="22"/>
                <w:szCs w:val="22"/>
                <w:highlight w:val="none"/>
                <w:lang w:val="en-US" w:eastAsia="zh-CN"/>
              </w:rPr>
            </w:pPr>
            <w:r>
              <w:rPr>
                <w:rFonts w:hint="default" w:ascii="Times New Roman" w:hAnsi="Times New Roman" w:eastAsia="宋体" w:cs="Times New Roman"/>
                <w:b w:val="0"/>
                <w:bCs w:val="0"/>
                <w:color w:val="000000"/>
                <w:sz w:val="22"/>
                <w:szCs w:val="22"/>
                <w:highlight w:val="none"/>
                <w:lang w:val="en-US" w:eastAsia="zh-CN"/>
              </w:rPr>
              <w:t>4</w:t>
            </w:r>
          </w:p>
        </w:tc>
        <w:tc>
          <w:tcPr>
            <w:tcW w:w="0" w:type="auto"/>
            <w:vMerge w:val="restart"/>
            <w:noWrap w:val="0"/>
            <w:vAlign w:val="center"/>
          </w:tcPr>
          <w:p w14:paraId="625C8A32">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US" w:eastAsia="zh-CN"/>
              </w:rPr>
            </w:pPr>
            <w:r>
              <w:rPr>
                <w:rFonts w:hint="default" w:ascii="Times New Roman" w:hAnsi="Times New Roman" w:eastAsia="宋体" w:cs="Times New Roman"/>
                <w:sz w:val="21"/>
                <w:szCs w:val="21"/>
                <w:highlight w:val="none"/>
              </w:rPr>
              <w:t>Acceptance regulations</w:t>
            </w:r>
          </w:p>
        </w:tc>
        <w:tc>
          <w:tcPr>
            <w:tcW w:w="0" w:type="auto"/>
            <w:noWrap w:val="0"/>
            <w:vAlign w:val="top"/>
          </w:tcPr>
          <w:p w14:paraId="223354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firstLine="0" w:firstLineChars="0"/>
              <w:jc w:val="both"/>
              <w:rPr>
                <w:rFonts w:hint="default" w:ascii="Times New Roman" w:hAnsi="Times New Roman" w:eastAsia="宋体" w:cs="Times New Roman"/>
                <w:b w:val="0"/>
                <w:bCs w:val="0"/>
                <w:color w:val="auto"/>
                <w:sz w:val="22"/>
                <w:szCs w:val="22"/>
                <w:lang w:val="en-US" w:eastAsia="zh-CN"/>
              </w:rPr>
            </w:pPr>
            <w:r>
              <w:rPr>
                <w:rFonts w:hint="default" w:ascii="Times New Roman" w:hAnsi="Times New Roman" w:eastAsia="宋体" w:cs="Times New Roman"/>
                <w:color w:val="000000"/>
                <w:kern w:val="0"/>
                <w:sz w:val="21"/>
                <w:szCs w:val="21"/>
                <w:highlight w:val="none"/>
                <w:lang w:bidi="ar"/>
              </w:rPr>
              <w:t xml:space="preserve">4.1 </w:t>
            </w:r>
            <w:r>
              <w:rPr>
                <w:rFonts w:hint="default" w:ascii="Times New Roman" w:hAnsi="Times New Roman" w:eastAsia="宋体" w:cs="Times New Roman"/>
                <w:color w:val="000000"/>
                <w:kern w:val="0"/>
                <w:szCs w:val="21"/>
                <w:highlight w:val="none"/>
                <w:lang w:bidi="ar"/>
              </w:rPr>
              <w:t>The seller shall sign the acceptance report after the goods are inspected and approved by both parties, and the product warranty period shall be calculated from the date of acceptance, and the seller shall provide the product warranty documents.</w:t>
            </w:r>
          </w:p>
        </w:tc>
        <w:tc>
          <w:tcPr>
            <w:tcW w:w="0" w:type="auto"/>
            <w:noWrap w:val="0"/>
            <w:vAlign w:val="top"/>
          </w:tcPr>
          <w:p w14:paraId="7EFC08E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14D4867F">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7CE1459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r>
      <w:tr w14:paraId="7043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0" w:type="auto"/>
            <w:vMerge w:val="continue"/>
            <w:noWrap w:val="0"/>
            <w:vAlign w:val="center"/>
          </w:tcPr>
          <w:p w14:paraId="18CE3277">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宋体" w:cs="Times New Roman"/>
                <w:b w:val="0"/>
                <w:bCs w:val="0"/>
                <w:color w:val="000000"/>
                <w:sz w:val="22"/>
                <w:szCs w:val="22"/>
                <w:highlight w:val="none"/>
              </w:rPr>
            </w:pPr>
          </w:p>
        </w:tc>
        <w:tc>
          <w:tcPr>
            <w:tcW w:w="0" w:type="auto"/>
            <w:vMerge w:val="continue"/>
            <w:noWrap w:val="0"/>
            <w:vAlign w:val="center"/>
          </w:tcPr>
          <w:p w14:paraId="44767FAB">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794F75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 w:val="21"/>
                <w:szCs w:val="21"/>
                <w:highlight w:val="none"/>
                <w:lang w:val="en-US" w:eastAsia="zh-CN" w:bidi="ar"/>
              </w:rPr>
              <w:t xml:space="preserve">4.2 </w:t>
            </w:r>
            <w:r>
              <w:rPr>
                <w:rFonts w:hint="default" w:ascii="Times New Roman" w:hAnsi="Times New Roman" w:eastAsia="宋体" w:cs="Times New Roman"/>
                <w:color w:val="000000"/>
                <w:kern w:val="0"/>
                <w:szCs w:val="21"/>
                <w:highlight w:val="none"/>
                <w:lang w:bidi="ar"/>
              </w:rPr>
              <w:t xml:space="preserve">The </w:t>
            </w:r>
            <w:r>
              <w:rPr>
                <w:rFonts w:hint="default" w:ascii="Times New Roman" w:hAnsi="Times New Roman" w:eastAsia="宋体" w:cs="Times New Roman"/>
                <w:color w:val="000000"/>
                <w:kern w:val="0"/>
                <w:szCs w:val="21"/>
                <w:highlight w:val="none"/>
                <w:lang w:eastAsia="zh-CN" w:bidi="ar"/>
              </w:rPr>
              <w:t xml:space="preserve">Purchaser </w:t>
            </w:r>
            <w:r>
              <w:rPr>
                <w:rFonts w:hint="default" w:ascii="Times New Roman" w:hAnsi="Times New Roman" w:eastAsia="宋体" w:cs="Times New Roman"/>
                <w:color w:val="000000"/>
                <w:kern w:val="0"/>
                <w:szCs w:val="21"/>
                <w:highlight w:val="none"/>
                <w:lang w:bidi="ar"/>
              </w:rPr>
              <w:t>shall issue the Goods Inspection Report to the seller only when the following conditions are met:</w:t>
            </w:r>
          </w:p>
          <w:p w14:paraId="75D359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a. The seller has provided all the products and complete technical data in accordance with the contract.</w:t>
            </w:r>
          </w:p>
          <w:p w14:paraId="366A25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b. The goods meet the requirements of the technical specifications in the tender document, and the performance meets the requirements.</w:t>
            </w:r>
          </w:p>
          <w:p w14:paraId="6122AF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c. If the goods are domestic products, the product certificate must be provided.</w:t>
            </w:r>
          </w:p>
          <w:p w14:paraId="1232AE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color w:val="000000"/>
                <w:kern w:val="0"/>
                <w:szCs w:val="21"/>
                <w:highlight w:val="none"/>
                <w:lang w:bidi="ar"/>
              </w:rPr>
            </w:pPr>
            <w:r>
              <w:rPr>
                <w:rFonts w:hint="default" w:ascii="Times New Roman" w:hAnsi="Times New Roman" w:eastAsia="宋体" w:cs="Times New Roman"/>
                <w:color w:val="000000"/>
                <w:kern w:val="0"/>
                <w:szCs w:val="21"/>
                <w:highlight w:val="none"/>
                <w:lang w:bidi="ar"/>
              </w:rPr>
              <w:t>d. For imported goods, relevant customs declaration documents shall be provided.</w:t>
            </w:r>
          </w:p>
          <w:p w14:paraId="0AE8FC3B">
            <w:pPr>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288" w:lineRule="atLeast"/>
              <w:ind w:left="0" w:leftChars="0" w:right="0" w:rightChars="0"/>
              <w:jc w:val="both"/>
              <w:rPr>
                <w:rFonts w:hint="default" w:ascii="Times New Roman" w:hAnsi="Times New Roman" w:eastAsia="宋体" w:cs="Times New Roman"/>
                <w:b w:val="0"/>
                <w:bCs w:val="0"/>
                <w:color w:val="auto"/>
                <w:sz w:val="22"/>
                <w:szCs w:val="22"/>
                <w:lang w:val="en-US" w:eastAsia="zh-CN"/>
              </w:rPr>
            </w:pPr>
            <w:r>
              <w:rPr>
                <w:rFonts w:hint="default" w:ascii="Times New Roman" w:hAnsi="Times New Roman" w:eastAsia="宋体" w:cs="Times New Roman"/>
                <w:color w:val="000000"/>
                <w:kern w:val="0"/>
                <w:szCs w:val="21"/>
                <w:highlight w:val="none"/>
                <w:lang w:bidi="ar"/>
              </w:rPr>
              <w:t>e. A calibration report is required for this project; for equipment subject to mandatory inspection as stipulated by national regulations, a verification certificate shall also be provided.</w:t>
            </w:r>
          </w:p>
        </w:tc>
        <w:tc>
          <w:tcPr>
            <w:tcW w:w="0" w:type="auto"/>
            <w:noWrap w:val="0"/>
            <w:vAlign w:val="top"/>
          </w:tcPr>
          <w:p w14:paraId="5407376F">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224CBEE1">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749367E4">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r>
      <w:tr w14:paraId="62B9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0" w:type="auto"/>
            <w:noWrap w:val="0"/>
            <w:vAlign w:val="center"/>
          </w:tcPr>
          <w:p w14:paraId="105F6E44">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宋体" w:cs="Times New Roman"/>
                <w:b w:val="0"/>
                <w:bCs w:val="0"/>
                <w:color w:val="000000"/>
                <w:sz w:val="22"/>
                <w:szCs w:val="22"/>
                <w:highlight w:val="none"/>
                <w:lang w:val="en-US" w:eastAsia="zh-CN"/>
              </w:rPr>
            </w:pPr>
            <w:r>
              <w:rPr>
                <w:rFonts w:hint="default" w:ascii="Times New Roman" w:hAnsi="Times New Roman" w:eastAsia="宋体" w:cs="Times New Roman"/>
                <w:b w:val="0"/>
                <w:bCs w:val="0"/>
                <w:color w:val="000000"/>
                <w:sz w:val="22"/>
                <w:szCs w:val="22"/>
                <w:highlight w:val="none"/>
                <w:lang w:val="en-US" w:eastAsia="zh-CN"/>
              </w:rPr>
              <w:t>5</w:t>
            </w:r>
          </w:p>
        </w:tc>
        <w:tc>
          <w:tcPr>
            <w:tcW w:w="0" w:type="auto"/>
            <w:noWrap w:val="0"/>
            <w:vAlign w:val="center"/>
          </w:tcPr>
          <w:p w14:paraId="6724699D">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sz w:val="22"/>
                <w:szCs w:val="22"/>
                <w:lang w:val="en-US" w:eastAsia="zh-CN"/>
              </w:rPr>
            </w:pPr>
            <w:r>
              <w:rPr>
                <w:rFonts w:hint="default" w:ascii="Times New Roman" w:hAnsi="Times New Roman" w:eastAsia="宋体" w:cs="Times New Roman"/>
                <w:color w:val="FF0000"/>
                <w:sz w:val="21"/>
                <w:szCs w:val="21"/>
                <w:highlight w:val="none"/>
              </w:rPr>
              <w:t>*Payment method and schedule</w:t>
            </w:r>
          </w:p>
        </w:tc>
        <w:tc>
          <w:tcPr>
            <w:tcW w:w="0" w:type="auto"/>
            <w:noWrap w:val="0"/>
            <w:vAlign w:val="top"/>
          </w:tcPr>
          <w:p w14:paraId="2CF9E9B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bCs/>
                <w:color w:val="FF0000"/>
                <w:kern w:val="0"/>
                <w:sz w:val="21"/>
                <w:szCs w:val="21"/>
                <w:highlight w:val="none"/>
                <w:lang w:val="en-US" w:eastAsia="zh-CN" w:bidi="ar"/>
              </w:rPr>
            </w:pPr>
            <w:r>
              <w:rPr>
                <w:rFonts w:hint="default" w:ascii="Times New Roman" w:hAnsi="Times New Roman" w:eastAsia="宋体" w:cs="Times New Roman"/>
                <w:b/>
                <w:bCs/>
                <w:color w:val="FF0000"/>
                <w:kern w:val="0"/>
                <w:sz w:val="21"/>
                <w:szCs w:val="21"/>
                <w:highlight w:val="none"/>
                <w:lang w:val="en-US" w:eastAsia="zh-CN" w:bidi="ar"/>
              </w:rPr>
              <w:t>The payment of goods shall be made in 【two】 installments:</w:t>
            </w:r>
          </w:p>
          <w:p w14:paraId="2B50EAD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both"/>
              <w:rPr>
                <w:rFonts w:hint="default" w:ascii="Times New Roman" w:hAnsi="Times New Roman" w:eastAsia="宋体" w:cs="Times New Roman"/>
                <w:b/>
                <w:bCs/>
                <w:color w:val="FF0000"/>
                <w:kern w:val="0"/>
                <w:sz w:val="21"/>
                <w:szCs w:val="21"/>
                <w:highlight w:val="none"/>
                <w:lang w:val="en-US" w:eastAsia="zh-CN" w:bidi="ar"/>
              </w:rPr>
            </w:pPr>
            <w:r>
              <w:rPr>
                <w:rFonts w:hint="default" w:ascii="Times New Roman" w:hAnsi="Times New Roman" w:eastAsia="宋体" w:cs="Times New Roman"/>
                <w:b/>
                <w:bCs/>
                <w:color w:val="FF0000"/>
                <w:kern w:val="0"/>
                <w:sz w:val="21"/>
                <w:szCs w:val="21"/>
                <w:lang w:val="en-US" w:eastAsia="zh-CN" w:bidi="ar"/>
              </w:rPr>
              <w:t>(</w:t>
            </w:r>
            <w:r>
              <w:rPr>
                <w:rFonts w:hint="eastAsia" w:ascii="Times New Roman" w:hAnsi="Times New Roman" w:eastAsia="宋体" w:cs="Times New Roman"/>
                <w:b/>
                <w:bCs/>
                <w:color w:val="FF0000"/>
                <w:kern w:val="0"/>
                <w:sz w:val="21"/>
                <w:szCs w:val="21"/>
                <w:lang w:val="en-US" w:eastAsia="zh-CN" w:bidi="ar"/>
              </w:rPr>
              <w:t>1</w:t>
            </w:r>
            <w:r>
              <w:rPr>
                <w:rFonts w:hint="default" w:ascii="Times New Roman" w:hAnsi="Times New Roman" w:eastAsia="宋体" w:cs="Times New Roman"/>
                <w:b/>
                <w:bCs/>
                <w:color w:val="FF0000"/>
                <w:kern w:val="0"/>
                <w:sz w:val="21"/>
                <w:szCs w:val="21"/>
                <w:lang w:val="en-US" w:eastAsia="zh-CN" w:bidi="ar"/>
              </w:rPr>
              <w:t>)</w:t>
            </w:r>
            <w:r>
              <w:rPr>
                <w:rFonts w:hint="default" w:ascii="Times New Roman" w:hAnsi="Times New Roman" w:eastAsia="宋体" w:cs="Times New Roman"/>
                <w:b/>
                <w:bCs/>
                <w:color w:val="FF0000"/>
                <w:kern w:val="0"/>
                <w:sz w:val="21"/>
                <w:szCs w:val="21"/>
                <w:highlight w:val="none"/>
                <w:lang w:val="en-US" w:eastAsia="zh-CN" w:bidi="ar"/>
              </w:rPr>
              <w:t>Advance Payment: After the contract is signed, the Purchaser shall pay 40% of the contract price to the Seller within the statutory time limit.</w:t>
            </w:r>
          </w:p>
          <w:p w14:paraId="16D03B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288" w:lineRule="atLeast"/>
              <w:ind w:left="0" w:right="0"/>
              <w:jc w:val="both"/>
              <w:textAlignment w:val="auto"/>
              <w:rPr>
                <w:rFonts w:hint="default" w:ascii="Times New Roman" w:hAnsi="Times New Roman" w:eastAsia="宋体" w:cs="Times New Roman"/>
                <w:b/>
                <w:bCs/>
                <w:color w:val="FF0000"/>
                <w:kern w:val="0"/>
                <w:szCs w:val="21"/>
                <w:highlight w:val="none"/>
                <w:lang w:bidi="ar"/>
              </w:rPr>
            </w:pPr>
            <w:r>
              <w:rPr>
                <w:rFonts w:hint="default" w:ascii="Times New Roman" w:hAnsi="Times New Roman" w:cs="Times New Roman"/>
                <w:b/>
                <w:bCs/>
                <w:color w:val="FF0000"/>
                <w:highlight w:val="none"/>
                <w:lang w:val="en-US" w:eastAsia="zh-CN"/>
              </w:rPr>
              <w:t xml:space="preserve">(2) </w:t>
            </w:r>
            <w:r>
              <w:rPr>
                <w:rFonts w:hint="default" w:ascii="Times New Roman" w:hAnsi="Times New Roman" w:eastAsia="宋体" w:cs="Times New Roman"/>
                <w:b/>
                <w:bCs/>
                <w:color w:val="FF0000"/>
                <w:kern w:val="0"/>
                <w:szCs w:val="21"/>
                <w:highlight w:val="none"/>
                <w:lang w:bidi="ar"/>
              </w:rPr>
              <w:t>Progress Payment: Upon the goods arriving at the designated location and passing acceptance inspection, the Purchaser shall pay the remaining 60% of the contract price to the Seller within the statutory time limit.</w:t>
            </w:r>
          </w:p>
          <w:p w14:paraId="00F9C06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leftChars="0" w:right="0" w:rightChars="0"/>
              <w:jc w:val="both"/>
              <w:rPr>
                <w:rFonts w:hint="default" w:ascii="Times New Roman" w:hAnsi="Times New Roman" w:eastAsia="宋体" w:cs="Times New Roman"/>
                <w:b/>
                <w:bCs/>
                <w:color w:val="FF0000"/>
                <w:sz w:val="22"/>
                <w:szCs w:val="22"/>
                <w:lang w:val="en-US" w:eastAsia="zh-CN"/>
              </w:rPr>
            </w:pPr>
            <w:r>
              <w:rPr>
                <w:rFonts w:hint="default" w:ascii="Times New Roman" w:hAnsi="Times New Roman" w:eastAsia="宋体" w:cs="Times New Roman"/>
                <w:b/>
                <w:bCs/>
                <w:color w:val="FF0000"/>
                <w:kern w:val="0"/>
                <w:szCs w:val="21"/>
                <w:highlight w:val="none"/>
                <w:lang w:bidi="ar"/>
              </w:rPr>
              <w:t xml:space="preserve">Note: The signing of domestic product contract refers to the signing of domestic goods purchase and sales contract, and the signing of import product contract refers to the signing of import goods purchase and sales contract, entrusted agent import agreement and foreign trade contract. The </w:t>
            </w:r>
            <w:r>
              <w:rPr>
                <w:rFonts w:hint="default" w:ascii="Times New Roman" w:hAnsi="Times New Roman" w:eastAsia="宋体" w:cs="Times New Roman"/>
                <w:b/>
                <w:bCs/>
                <w:color w:val="FF0000"/>
                <w:kern w:val="0"/>
                <w:szCs w:val="21"/>
                <w:highlight w:val="none"/>
                <w:lang w:eastAsia="zh-CN" w:bidi="ar"/>
              </w:rPr>
              <w:t xml:space="preserve">Purchaser </w:t>
            </w:r>
            <w:r>
              <w:rPr>
                <w:rFonts w:hint="default" w:ascii="Times New Roman" w:hAnsi="Times New Roman" w:eastAsia="宋体" w:cs="Times New Roman"/>
                <w:b/>
                <w:bCs/>
                <w:color w:val="FF0000"/>
                <w:kern w:val="0"/>
                <w:szCs w:val="21"/>
                <w:highlight w:val="none"/>
                <w:lang w:bidi="ar"/>
              </w:rPr>
              <w:t>is responsible for handling the approval documents and tax exemption formalities for the import of goods in China, and entrusts a foreign trade company to handle the import business as an agent. The import agent fee shall be paid by the seller</w:t>
            </w:r>
          </w:p>
        </w:tc>
        <w:tc>
          <w:tcPr>
            <w:tcW w:w="0" w:type="auto"/>
            <w:noWrap w:val="0"/>
            <w:vAlign w:val="top"/>
          </w:tcPr>
          <w:p w14:paraId="7327AA8F">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255F3DB8">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7B691D1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r>
      <w:tr w14:paraId="49CCE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0" w:type="auto"/>
            <w:vMerge w:val="restart"/>
            <w:noWrap w:val="0"/>
            <w:vAlign w:val="center"/>
          </w:tcPr>
          <w:p w14:paraId="3B610A40">
            <w:pPr>
              <w:keepNext w:val="0"/>
              <w:keepLines w:val="0"/>
              <w:widowControl/>
              <w:suppressLineNumbers w:val="0"/>
              <w:spacing w:before="0" w:beforeAutospacing="0" w:after="0" w:afterAutospacing="0" w:line="440" w:lineRule="exact"/>
              <w:ind w:left="0" w:right="0" w:firstLine="0" w:firstLineChars="0"/>
              <w:jc w:val="center"/>
              <w:rPr>
                <w:rFonts w:hint="default" w:ascii="Times New Roman" w:hAnsi="Times New Roman" w:eastAsia="宋体" w:cs="Times New Roman"/>
                <w:b w:val="0"/>
                <w:bCs w:val="0"/>
                <w:color w:val="auto"/>
                <w:sz w:val="22"/>
                <w:szCs w:val="22"/>
                <w:lang w:val="en-US" w:eastAsia="zh-CN"/>
              </w:rPr>
            </w:pPr>
            <w:r>
              <w:rPr>
                <w:rFonts w:hint="default" w:ascii="Times New Roman" w:hAnsi="Times New Roman" w:eastAsia="宋体" w:cs="Times New Roman"/>
                <w:b w:val="0"/>
                <w:bCs w:val="0"/>
                <w:color w:val="auto"/>
                <w:sz w:val="22"/>
                <w:szCs w:val="22"/>
                <w:lang w:val="en-US" w:eastAsia="zh-CN"/>
              </w:rPr>
              <w:t>6</w:t>
            </w:r>
          </w:p>
        </w:tc>
        <w:tc>
          <w:tcPr>
            <w:tcW w:w="0" w:type="auto"/>
            <w:vMerge w:val="restart"/>
            <w:noWrap w:val="0"/>
            <w:vAlign w:val="center"/>
          </w:tcPr>
          <w:p w14:paraId="2948C41C">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sz w:val="22"/>
                <w:szCs w:val="22"/>
                <w:lang w:val="en-US" w:eastAsia="zh-CN"/>
              </w:rPr>
            </w:pPr>
            <w:r>
              <w:rPr>
                <w:rFonts w:hint="default" w:ascii="Times New Roman" w:hAnsi="Times New Roman" w:eastAsia="宋体" w:cs="Times New Roman"/>
                <w:color w:val="FF0000"/>
                <w:sz w:val="21"/>
                <w:szCs w:val="21"/>
                <w:highlight w:val="none"/>
              </w:rPr>
              <w:t>*</w:t>
            </w:r>
            <w:r>
              <w:rPr>
                <w:rFonts w:hint="default" w:ascii="Times New Roman" w:hAnsi="Times New Roman" w:eastAsia="宋体" w:cs="Times New Roman"/>
                <w:color w:val="FF0000"/>
                <w:sz w:val="21"/>
                <w:szCs w:val="21"/>
                <w:highlight w:val="none"/>
                <w:lang w:val="en-US" w:eastAsia="zh-CN"/>
              </w:rPr>
              <w:t>Q</w:t>
            </w:r>
            <w:r>
              <w:rPr>
                <w:rFonts w:hint="default" w:ascii="Times New Roman" w:hAnsi="Times New Roman" w:eastAsia="宋体" w:cs="Times New Roman"/>
                <w:color w:val="FF0000"/>
                <w:sz w:val="21"/>
                <w:szCs w:val="21"/>
                <w:highlight w:val="none"/>
              </w:rPr>
              <w:t>uotation requirements</w:t>
            </w:r>
          </w:p>
        </w:tc>
        <w:tc>
          <w:tcPr>
            <w:tcW w:w="0" w:type="auto"/>
            <w:noWrap w:val="0"/>
            <w:vAlign w:val="top"/>
          </w:tcPr>
          <w:p w14:paraId="4FB2E43D">
            <w:pPr>
              <w:keepNext w:val="0"/>
              <w:keepLines w:val="0"/>
              <w:widowControl/>
              <w:suppressLineNumbers w:val="0"/>
              <w:spacing w:before="0" w:beforeAutospacing="0" w:after="0" w:afterAutospacing="0" w:line="240" w:lineRule="auto"/>
              <w:ind w:left="0" w:leftChars="0" w:right="0" w:rightChars="0" w:firstLine="0" w:firstLineChars="0"/>
              <w:jc w:val="both"/>
              <w:rPr>
                <w:rFonts w:hint="default" w:ascii="Times New Roman" w:hAnsi="Times New Roman" w:eastAsia="宋体" w:cs="Times New Roman"/>
                <w:b/>
                <w:bCs/>
                <w:color w:val="FF0000"/>
                <w:sz w:val="22"/>
                <w:szCs w:val="22"/>
                <w:lang w:val="en-US" w:eastAsia="zh-CN"/>
              </w:rPr>
            </w:pPr>
            <w:r>
              <w:rPr>
                <w:rFonts w:hint="default" w:ascii="Times New Roman" w:hAnsi="Times New Roman" w:eastAsia="宋体" w:cs="Times New Roman"/>
                <w:color w:val="FF0000"/>
                <w:sz w:val="21"/>
                <w:szCs w:val="21"/>
                <w:highlight w:val="none"/>
              </w:rPr>
              <w:t>6.1 The total budget control amount of this project is 9</w:t>
            </w:r>
            <w:r>
              <w:rPr>
                <w:rFonts w:hint="default" w:ascii="Times New Roman" w:hAnsi="Times New Roman" w:eastAsia="宋体" w:cs="Times New Roman"/>
                <w:color w:val="FF0000"/>
                <w:sz w:val="21"/>
                <w:szCs w:val="21"/>
                <w:highlight w:val="none"/>
                <w:lang w:val="en-US" w:eastAsia="zh-CN"/>
              </w:rPr>
              <w:t>,</w:t>
            </w:r>
            <w:r>
              <w:rPr>
                <w:rFonts w:hint="default" w:ascii="Times New Roman" w:hAnsi="Times New Roman" w:eastAsia="宋体" w:cs="Times New Roman"/>
                <w:color w:val="FF0000"/>
                <w:sz w:val="21"/>
                <w:szCs w:val="21"/>
                <w:highlight w:val="none"/>
              </w:rPr>
              <w:t>030</w:t>
            </w:r>
            <w:r>
              <w:rPr>
                <w:rFonts w:hint="default" w:ascii="Times New Roman" w:hAnsi="Times New Roman" w:eastAsia="宋体" w:cs="Times New Roman"/>
                <w:color w:val="FF0000"/>
                <w:sz w:val="21"/>
                <w:szCs w:val="21"/>
                <w:highlight w:val="none"/>
                <w:lang w:val="en-US" w:eastAsia="zh-CN"/>
              </w:rPr>
              <w:t>,</w:t>
            </w:r>
            <w:r>
              <w:rPr>
                <w:rFonts w:hint="default" w:ascii="Times New Roman" w:hAnsi="Times New Roman" w:eastAsia="宋体" w:cs="Times New Roman"/>
                <w:color w:val="FF0000"/>
                <w:sz w:val="21"/>
                <w:szCs w:val="21"/>
                <w:highlight w:val="none"/>
              </w:rPr>
              <w:t>000 yuan</w:t>
            </w:r>
            <w:r>
              <w:rPr>
                <w:rFonts w:hint="default" w:ascii="Times New Roman" w:hAnsi="Times New Roman" w:eastAsia="宋体" w:cs="Times New Roman"/>
                <w:color w:val="FF0000"/>
                <w:sz w:val="21"/>
                <w:szCs w:val="21"/>
                <w:highlight w:val="none"/>
                <w:lang w:val="en-US" w:eastAsia="zh-CN"/>
              </w:rPr>
              <w:t>.</w:t>
            </w:r>
            <w:r>
              <w:rPr>
                <w:rFonts w:hint="default" w:ascii="Times New Roman" w:hAnsi="Times New Roman" w:eastAsia="宋体" w:cs="Times New Roman"/>
                <w:color w:val="FF0000"/>
                <w:sz w:val="21"/>
                <w:szCs w:val="21"/>
                <w:highlight w:val="none"/>
              </w:rPr>
              <w:t xml:space="preserve"> Any bid with a quotation that exceeds the total budget control amount, as well as the unit price and total price of each item specified in the Demand Schedule shall be deemed invalid..</w:t>
            </w:r>
          </w:p>
        </w:tc>
        <w:tc>
          <w:tcPr>
            <w:tcW w:w="0" w:type="auto"/>
            <w:noWrap w:val="0"/>
            <w:vAlign w:val="top"/>
          </w:tcPr>
          <w:p w14:paraId="42002A51">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eastAsia="zh-CN"/>
              </w:rPr>
            </w:pPr>
          </w:p>
        </w:tc>
        <w:tc>
          <w:tcPr>
            <w:tcW w:w="0" w:type="auto"/>
            <w:noWrap w:val="0"/>
            <w:vAlign w:val="top"/>
          </w:tcPr>
          <w:p w14:paraId="02C77EC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eastAsia="zh-CN"/>
              </w:rPr>
            </w:pPr>
          </w:p>
        </w:tc>
        <w:tc>
          <w:tcPr>
            <w:tcW w:w="0" w:type="auto"/>
            <w:noWrap w:val="0"/>
            <w:vAlign w:val="top"/>
          </w:tcPr>
          <w:p w14:paraId="202B8D25">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GB" w:eastAsia="zh-CN"/>
              </w:rPr>
            </w:pPr>
          </w:p>
        </w:tc>
      </w:tr>
      <w:tr w14:paraId="5B4A1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0" w:type="auto"/>
            <w:vMerge w:val="continue"/>
            <w:noWrap w:val="0"/>
            <w:vAlign w:val="center"/>
          </w:tcPr>
          <w:p w14:paraId="5F3C4293">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vMerge w:val="continue"/>
            <w:noWrap w:val="0"/>
            <w:vAlign w:val="center"/>
          </w:tcPr>
          <w:p w14:paraId="14F41AEB">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sz w:val="22"/>
                <w:szCs w:val="22"/>
                <w:lang w:val="en-US" w:eastAsia="zh-CN"/>
              </w:rPr>
            </w:pPr>
          </w:p>
        </w:tc>
        <w:tc>
          <w:tcPr>
            <w:tcW w:w="0" w:type="auto"/>
            <w:noWrap w:val="0"/>
            <w:vAlign w:val="top"/>
          </w:tcPr>
          <w:p w14:paraId="5FD88A3E">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FF0000"/>
                <w:sz w:val="21"/>
                <w:szCs w:val="21"/>
                <w:highlight w:val="none"/>
              </w:rPr>
              <w:t>6.2 Quotation method:</w:t>
            </w:r>
            <w:r>
              <w:rPr>
                <w:rFonts w:hint="default" w:ascii="Times New Roman" w:hAnsi="Times New Roman" w:eastAsia="宋体" w:cs="Times New Roman"/>
                <w:color w:val="FF0000"/>
                <w:sz w:val="21"/>
                <w:szCs w:val="21"/>
                <w:highlight w:val="none"/>
                <w:lang w:val="en-US" w:eastAsia="zh-CN"/>
              </w:rPr>
              <w:t xml:space="preserve"> For goods supplied within the territory of the People's Republic of China:</w:t>
            </w:r>
          </w:p>
          <w:p w14:paraId="6FC8576D">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FF0000"/>
                <w:sz w:val="21"/>
                <w:szCs w:val="21"/>
                <w:highlight w:val="none"/>
                <w:lang w:val="en-US" w:eastAsia="zh-CN"/>
              </w:rPr>
              <w:t>Quotation in RMB including tax. The bidding price includes the price of instruments and equipment, taxes, packaging, transportation, loading and unloading, installation, commissioning, technical guidance, training, consulting, services, insurance, testing, acceptance before delivery and use, technical and after-sales services, and free warranty period return, repair and other all other costs.</w:t>
            </w:r>
          </w:p>
          <w:p w14:paraId="5D6C6C83">
            <w:pPr>
              <w:pStyle w:val="8"/>
              <w:keepNext w:val="0"/>
              <w:keepLines w:val="0"/>
              <w:widowControl/>
              <w:suppressLineNumbers w:val="0"/>
              <w:spacing w:before="0" w:beforeAutospacing="0" w:afterAutospacing="0"/>
              <w:ind w:left="0" w:right="0"/>
              <w:jc w:val="both"/>
              <w:rPr>
                <w:rFonts w:hint="default" w:ascii="Times New Roman" w:hAnsi="Times New Roman" w:eastAsia="宋体" w:cs="Times New Roman"/>
                <w:color w:val="FF0000"/>
                <w:sz w:val="18"/>
                <w:szCs w:val="18"/>
                <w:highlight w:val="none"/>
                <w:lang w:val="en-US" w:eastAsia="zh-CN"/>
              </w:rPr>
            </w:pPr>
            <w:r>
              <w:rPr>
                <w:rFonts w:hint="default" w:ascii="Times New Roman" w:hAnsi="Times New Roman" w:cs="Times New Roman" w:eastAsiaTheme="minorEastAsia"/>
                <w:color w:val="FF0000"/>
                <w:kern w:val="2"/>
                <w:sz w:val="21"/>
                <w:szCs w:val="22"/>
                <w:highlight w:val="none"/>
                <w:lang w:val="en-US" w:eastAsia="zh-CN" w:bidi="ar-SA"/>
              </w:rPr>
              <w:t xml:space="preserve">Completion of the Bid Itemized Quotation Form: For bids with </w:t>
            </w:r>
            <w:r>
              <w:rPr>
                <w:rFonts w:hint="default" w:ascii="Times New Roman" w:hAnsi="Times New Roman" w:cs="Times New Roman"/>
                <w:color w:val="FF0000"/>
                <w:kern w:val="2"/>
                <w:sz w:val="21"/>
                <w:szCs w:val="22"/>
                <w:highlight w:val="none"/>
                <w:lang w:val="en-US" w:eastAsia="zh-CN" w:bidi="ar-SA"/>
              </w:rPr>
              <w:t>domestic supply</w:t>
            </w:r>
            <w:r>
              <w:rPr>
                <w:rFonts w:hint="default" w:ascii="Times New Roman" w:hAnsi="Times New Roman" w:cs="Times New Roman" w:eastAsiaTheme="minorEastAsia"/>
                <w:color w:val="FF0000"/>
                <w:kern w:val="2"/>
                <w:sz w:val="21"/>
                <w:szCs w:val="22"/>
                <w:highlight w:val="none"/>
                <w:lang w:val="en-US" w:eastAsia="zh-CN" w:bidi="ar-SA"/>
              </w:rPr>
              <w:t xml:space="preserve">, fill out the form in accordance with Form IV-3-1 Bid Itemized Quotation Form (for bids with </w:t>
            </w:r>
            <w:r>
              <w:rPr>
                <w:rFonts w:hint="default" w:ascii="Times New Roman" w:hAnsi="Times New Roman" w:cs="Times New Roman"/>
                <w:color w:val="FF0000"/>
                <w:kern w:val="2"/>
                <w:sz w:val="21"/>
                <w:szCs w:val="22"/>
                <w:highlight w:val="none"/>
                <w:lang w:val="en-US" w:eastAsia="zh-CN" w:bidi="ar-SA"/>
              </w:rPr>
              <w:t>domestic supply</w:t>
            </w:r>
            <w:r>
              <w:rPr>
                <w:rFonts w:hint="default" w:ascii="Times New Roman" w:hAnsi="Times New Roman" w:cs="Times New Roman" w:eastAsiaTheme="minorEastAsia"/>
                <w:color w:val="FF0000"/>
                <w:kern w:val="2"/>
                <w:sz w:val="21"/>
                <w:szCs w:val="22"/>
                <w:highlight w:val="none"/>
                <w:lang w:val="en-US" w:eastAsia="zh-CN" w:bidi="ar-SA"/>
              </w:rPr>
              <w:t>) on Page 53, Volume I.</w:t>
            </w:r>
            <w:r>
              <w:rPr>
                <w:rFonts w:hint="default" w:ascii="Times New Roman" w:hAnsi="Times New Roman" w:cs="Times New Roman"/>
                <w:color w:val="FF0000"/>
                <w:kern w:val="2"/>
                <w:sz w:val="21"/>
                <w:szCs w:val="22"/>
                <w:highlight w:val="none"/>
                <w:lang w:val="en-US" w:eastAsia="zh-CN" w:bidi="ar-SA"/>
              </w:rPr>
              <w:t xml:space="preserve"> </w:t>
            </w:r>
          </w:p>
          <w:p w14:paraId="2CE26D73">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color w:val="FF0000"/>
                <w:szCs w:val="22"/>
                <w:highlight w:val="none"/>
              </w:rPr>
            </w:pPr>
            <w:r>
              <w:rPr>
                <w:rFonts w:hint="default" w:ascii="Times New Roman" w:hAnsi="Times New Roman" w:cs="Times New Roman"/>
                <w:color w:val="FF0000"/>
                <w:highlight w:val="none"/>
              </w:rPr>
              <w:t>For goods supplied outside the territory of the People's Republic of China:</w:t>
            </w:r>
          </w:p>
          <w:p w14:paraId="7F8235FC">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color w:val="FF0000"/>
                <w:szCs w:val="22"/>
                <w:highlight w:val="none"/>
              </w:rPr>
            </w:pPr>
            <w:r>
              <w:rPr>
                <w:rFonts w:hint="default" w:ascii="Times New Roman" w:hAnsi="Times New Roman" w:cs="Times New Roman" w:eastAsiaTheme="minorEastAsia"/>
                <w:color w:val="FF0000"/>
                <w:kern w:val="2"/>
                <w:sz w:val="21"/>
                <w:szCs w:val="22"/>
                <w:highlight w:val="none"/>
                <w:lang w:val="en-US" w:eastAsia="zh-CN" w:bidi="ar-SA"/>
              </w:rPr>
              <w:t>Quotation shall be on CIP terms, including unloading, delivered to the location designated by the Purchaser.</w:t>
            </w:r>
            <w:r>
              <w:rPr>
                <w:rFonts w:hint="default" w:ascii="Times New Roman" w:hAnsi="Times New Roman" w:cs="Times New Roman"/>
                <w:color w:val="FF0000"/>
                <w:highlight w:val="none"/>
              </w:rPr>
              <w:t xml:space="preserve">The bid shall be quoted in RMB (If quoting a tax-exempt price, it must be specifically marked; if the tax exemption is impossible, all taxes and fees shall be borne by the </w:t>
            </w:r>
            <w:r>
              <w:rPr>
                <w:rFonts w:hint="eastAsia" w:ascii="Times New Roman" w:hAnsi="Times New Roman" w:cs="Times New Roman"/>
                <w:color w:val="FF0000"/>
                <w:highlight w:val="none"/>
                <w:lang w:val="en-US" w:eastAsia="zh-CN"/>
              </w:rPr>
              <w:t>Purchaser</w:t>
            </w:r>
            <w:r>
              <w:rPr>
                <w:rFonts w:hint="default" w:ascii="Times New Roman" w:hAnsi="Times New Roman" w:cs="Times New Roman"/>
                <w:color w:val="FF0000"/>
                <w:highlight w:val="none"/>
              </w:rPr>
              <w:t>). Any bid that does not explicitly state a tax-exempt price in RMB shall be executed as a tax-inclusive price in RMB by default. The bid price shall be a lump-sum price, encompassing all costs incurred for purchase of the goods and after-sales services. This includes, but is not limited to: the cost of the goods; spare parts and accompanying tools; supporting documentation fees; packaging, transportation, and insurance (both domestic and overseas); loading and unloading; installation and commissioning costs; installation materials; reagents and consumables required for acceptance inspection; acceptance inspection fees charged by mandatory third-party supervision and inspection agencies; technical services and training; inspection; replacement and repair of equipment and components due to failures during the warranty period; return freight (both domestic and overseas); foreign trade agency fees; miscellaneous fees; import procedures costs; various labor costs; and all other expenses. If the goods also include software products, the lump-sum price shall likewise encompass all costs associated with the software, including but not limited to: the full purchase price of the software; costs for software encryption devices (dongles), upgrade service packages, and patches; software installation and commissioning fees; software user training fees; and various software after-sales service fees. Except for the expenses explicitly stipulated in this project, the tenderee shall not be liable for any additional costs or bear any additional obligations. The aforementioned price and all associated terms shall remain unchanged throughout the performance of this project, unless modified by mutual written agreement between both parties.The winning bid price (contract price) is the RMB amount quoted by the bidder.</w:t>
            </w:r>
          </w:p>
          <w:p w14:paraId="2878C2A2">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color w:val="FF0000"/>
                <w:szCs w:val="22"/>
                <w:highlight w:val="none"/>
              </w:rPr>
            </w:pPr>
            <w:r>
              <w:rPr>
                <w:rFonts w:hint="default" w:ascii="Times New Roman" w:hAnsi="Times New Roman" w:cs="Times New Roman"/>
                <w:color w:val="FF0000"/>
                <w:highlight w:val="none"/>
              </w:rPr>
              <w:t>If the project needs to use foreign currency for settlement, the real-time exchange rate of RMB against foreign exchange published by the Bank of China on the payment date shall be used as the settlement exchange rate, and the exchange rate risk shall be borne by the bid winner.</w:t>
            </w:r>
          </w:p>
          <w:p w14:paraId="6A8AD3C6">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color w:val="FF0000"/>
                <w:szCs w:val="22"/>
                <w:highlight w:val="none"/>
              </w:rPr>
            </w:pPr>
            <w:r>
              <w:rPr>
                <w:rFonts w:hint="default" w:ascii="Times New Roman" w:hAnsi="Times New Roman" w:cs="Times New Roman"/>
                <w:color w:val="FF0000"/>
                <w:highlight w:val="none"/>
              </w:rPr>
              <w:t>Notes:</w:t>
            </w:r>
          </w:p>
          <w:p w14:paraId="365759D7">
            <w:pPr>
              <w:pStyle w:val="8"/>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both"/>
              <w:textAlignment w:val="auto"/>
              <w:rPr>
                <w:rFonts w:hint="default" w:ascii="Times New Roman" w:hAnsi="Times New Roman" w:cs="Times New Roman" w:eastAsiaTheme="minorEastAsia"/>
                <w:color w:val="FF0000"/>
                <w:szCs w:val="22"/>
                <w:highlight w:val="none"/>
              </w:rPr>
            </w:pPr>
            <w:r>
              <w:rPr>
                <w:rFonts w:hint="default" w:ascii="Times New Roman" w:hAnsi="Times New Roman" w:cs="Times New Roman"/>
                <w:color w:val="FF0000"/>
                <w:highlight w:val="none"/>
                <w:lang w:val="en-US" w:eastAsia="zh-CN"/>
              </w:rPr>
              <w:t>1</w:t>
            </w:r>
            <w:r>
              <w:rPr>
                <w:rFonts w:hint="default" w:ascii="Times New Roman" w:hAnsi="Times New Roman" w:cs="Times New Roman"/>
                <w:color w:val="FF0000"/>
                <w:highlight w:val="none"/>
              </w:rPr>
              <w:t>) In accordance with relevant national laws and regulations, if the bid products are ineligible for duty-free importation, a tax-inclusive price in RMB shall be quoted. When quoting a duty-free price for imported products, any domestically supplied portions must be marked as tax-inclusive prices on the bidding subitem quotation form. Valid invoices issued by the tax authority must be provided at the time of payment; otherwise, payment for said portion will not be disbursed.</w:t>
            </w:r>
          </w:p>
          <w:p w14:paraId="6F3B7835">
            <w:pPr>
              <w:pStyle w:val="8"/>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FF0000"/>
                <w:highlight w:val="none"/>
              </w:rPr>
            </w:pPr>
            <w:r>
              <w:rPr>
                <w:rFonts w:hint="default" w:ascii="Times New Roman" w:hAnsi="Times New Roman" w:cs="Times New Roman"/>
                <w:color w:val="FF0000"/>
                <w:highlight w:val="none"/>
                <w:lang w:val="en-US" w:eastAsia="zh-CN"/>
              </w:rPr>
              <w:t>2</w:t>
            </w:r>
            <w:r>
              <w:rPr>
                <w:rFonts w:hint="default" w:ascii="Times New Roman" w:hAnsi="Times New Roman" w:cs="Times New Roman"/>
                <w:color w:val="FF0000"/>
                <w:highlight w:val="none"/>
              </w:rPr>
              <w:t>)During the transition period of the duty-free policy, the costs of customs clearance using bank guarantees, letters of guarantee, or insurance shall be borne by the bid winner.</w:t>
            </w:r>
          </w:p>
          <w:p w14:paraId="39AF0962">
            <w:pPr>
              <w:pStyle w:val="8"/>
              <w:keepNext w:val="0"/>
              <w:keepLines w:val="0"/>
              <w:widowControl/>
              <w:suppressLineNumbers w:val="0"/>
              <w:spacing w:before="0" w:beforeAutospacing="0" w:after="0" w:afterAutospacing="0" w:line="240" w:lineRule="auto"/>
              <w:ind w:left="0" w:right="0" w:firstLine="0" w:firstLineChars="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cs="Times New Roman"/>
                <w:color w:val="FF0000"/>
                <w:highlight w:val="none"/>
              </w:rPr>
              <w:t>Foreign trade agency fee standard: Charge according to the tiered pricing.</w:t>
            </w:r>
            <w:r>
              <w:rPr>
                <w:rFonts w:hint="default" w:ascii="Times New Roman" w:hAnsi="Times New Roman" w:cs="Times New Roman" w:eastAsiaTheme="minorEastAsia"/>
                <w:b w:val="0"/>
                <w:bCs w:val="0"/>
                <w:color w:val="FF0000"/>
                <w:kern w:val="2"/>
                <w:sz w:val="21"/>
                <w:szCs w:val="22"/>
                <w:highlight w:val="none"/>
                <w:lang w:val="en-US" w:eastAsia="zh-CN" w:bidi="ar-SA"/>
              </w:rPr>
              <w:t xml:space="preserve">  </w:t>
            </w:r>
            <w:r>
              <w:rPr>
                <w:rFonts w:hint="default" w:ascii="Times New Roman" w:hAnsi="Times New Roman" w:eastAsia="宋体" w:cs="Times New Roman"/>
                <w:b/>
                <w:bCs/>
                <w:color w:val="FF0000"/>
                <w:kern w:val="2"/>
                <w:sz w:val="21"/>
                <w:szCs w:val="21"/>
                <w:highlight w:val="none"/>
                <w:lang w:val="en-GB" w:eastAsia="zh-CN" w:bidi="ar-SA"/>
              </w:rPr>
              <w:t xml:space="preserve">      </w:t>
            </w:r>
          </w:p>
          <w:tbl>
            <w:tblPr>
              <w:tblStyle w:val="15"/>
              <w:tblW w:w="2804" w:type="pct"/>
              <w:jc w:val="center"/>
              <w:tblLayout w:type="autofit"/>
              <w:tblCellMar>
                <w:top w:w="0" w:type="dxa"/>
                <w:left w:w="30" w:type="dxa"/>
                <w:bottom w:w="0" w:type="dxa"/>
                <w:right w:w="30" w:type="dxa"/>
              </w:tblCellMar>
            </w:tblPr>
            <w:tblGrid>
              <w:gridCol w:w="784"/>
              <w:gridCol w:w="714"/>
            </w:tblGrid>
            <w:tr w14:paraId="3FCC9E89">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E20524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color w:val="FF0000"/>
                      <w:sz w:val="21"/>
                      <w:szCs w:val="21"/>
                      <w:highlight w:val="none"/>
                    </w:rPr>
                    <w:t>Contract amount (rmb)</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57171D5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color w:val="FF0000"/>
                      <w:sz w:val="21"/>
                      <w:szCs w:val="21"/>
                      <w:highlight w:val="none"/>
                    </w:rPr>
                    <w:t>Agency fee rate (%)</w:t>
                  </w:r>
                </w:p>
              </w:tc>
            </w:tr>
            <w:tr w14:paraId="4DA83F66">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E029AC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color w:val="FF0000"/>
                      <w:sz w:val="21"/>
                      <w:szCs w:val="21"/>
                      <w:highlight w:val="none"/>
                    </w:rPr>
                    <w:t>Below 1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07A2930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b/>
                      <w:bCs/>
                      <w:color w:val="FF0000"/>
                      <w:kern w:val="2"/>
                      <w:sz w:val="21"/>
                      <w:szCs w:val="21"/>
                      <w:highlight w:val="none"/>
                      <w:lang w:val="en-GB" w:eastAsia="zh-CN" w:bidi="ar-SA"/>
                    </w:rPr>
                    <w:t>1</w:t>
                  </w:r>
                </w:p>
              </w:tc>
            </w:tr>
            <w:tr w14:paraId="2B1C5287">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EA5EC9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color w:val="FF0000"/>
                      <w:sz w:val="21"/>
                      <w:szCs w:val="21"/>
                      <w:highlight w:val="none"/>
                    </w:rPr>
                    <w:t>1 million – 3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7E676F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US" w:eastAsia="zh-CN" w:bidi="ar-SA"/>
                    </w:rPr>
                    <w:t>0.9</w:t>
                  </w:r>
                </w:p>
              </w:tc>
            </w:tr>
            <w:tr w14:paraId="729B35E3">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2A76CD73">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color w:val="FF0000"/>
                      <w:sz w:val="21"/>
                      <w:szCs w:val="21"/>
                      <w:highlight w:val="none"/>
                    </w:rPr>
                    <w:t>3 million – 5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31B9B34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US" w:eastAsia="zh-CN" w:bidi="ar-SA"/>
                    </w:rPr>
                    <w:t>0.8</w:t>
                  </w:r>
                </w:p>
              </w:tc>
            </w:tr>
            <w:tr w14:paraId="012B3835">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6B21741D">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color w:val="FF0000"/>
                      <w:sz w:val="21"/>
                      <w:szCs w:val="21"/>
                      <w:highlight w:val="none"/>
                    </w:rPr>
                    <w:t>5 million – 10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73023510">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GB" w:eastAsia="zh-CN" w:bidi="ar-SA"/>
                    </w:rPr>
                    <w:t>0.</w:t>
                  </w:r>
                  <w:r>
                    <w:rPr>
                      <w:rFonts w:hint="default" w:ascii="Times New Roman" w:hAnsi="Times New Roman" w:eastAsia="宋体" w:cs="Times New Roman"/>
                      <w:b/>
                      <w:bCs/>
                      <w:color w:val="FF0000"/>
                      <w:kern w:val="2"/>
                      <w:sz w:val="21"/>
                      <w:szCs w:val="21"/>
                      <w:highlight w:val="none"/>
                      <w:lang w:val="en-US" w:eastAsia="zh-CN" w:bidi="ar-SA"/>
                    </w:rPr>
                    <w:t>6</w:t>
                  </w:r>
                </w:p>
              </w:tc>
            </w:tr>
            <w:tr w14:paraId="3AE5950D">
              <w:tblPrEx>
                <w:tblCellMar>
                  <w:top w:w="0" w:type="dxa"/>
                  <w:left w:w="30" w:type="dxa"/>
                  <w:bottom w:w="0" w:type="dxa"/>
                  <w:right w:w="30" w:type="dxa"/>
                </w:tblCellMar>
              </w:tblPrEx>
              <w:trPr>
                <w:trHeight w:val="397" w:hRule="atLeast"/>
                <w:jc w:val="center"/>
              </w:trPr>
              <w:tc>
                <w:tcPr>
                  <w:tcW w:w="2941"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167C4D8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GB" w:eastAsia="zh-CN" w:bidi="ar-SA"/>
                    </w:rPr>
                  </w:pPr>
                  <w:r>
                    <w:rPr>
                      <w:rFonts w:hint="default" w:ascii="Times New Roman" w:hAnsi="Times New Roman" w:eastAsia="宋体" w:cs="Times New Roman"/>
                      <w:color w:val="FF0000"/>
                      <w:sz w:val="21"/>
                      <w:szCs w:val="21"/>
                      <w:highlight w:val="none"/>
                    </w:rPr>
                    <w:t>Over 10 million yuan</w:t>
                  </w:r>
                </w:p>
              </w:tc>
              <w:tc>
                <w:tcPr>
                  <w:tcW w:w="2058" w:type="pct"/>
                  <w:tcBorders>
                    <w:top w:val="single" w:color="auto" w:sz="6" w:space="0"/>
                    <w:left w:val="single" w:color="auto" w:sz="6" w:space="0"/>
                    <w:bottom w:val="single" w:color="auto" w:sz="6" w:space="0"/>
                    <w:right w:val="single" w:color="auto" w:sz="6" w:space="0"/>
                  </w:tcBorders>
                  <w:shd w:val="clear" w:color="auto" w:fill="FFFFFF"/>
                  <w:noWrap w:val="0"/>
                  <w:vAlign w:val="center"/>
                </w:tcPr>
                <w:p w14:paraId="4DD46693">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bCs/>
                      <w:color w:val="FF0000"/>
                      <w:kern w:val="2"/>
                      <w:sz w:val="21"/>
                      <w:szCs w:val="21"/>
                      <w:highlight w:val="none"/>
                      <w:lang w:val="en-US" w:eastAsia="zh-CN" w:bidi="ar-SA"/>
                    </w:rPr>
                  </w:pPr>
                  <w:r>
                    <w:rPr>
                      <w:rFonts w:hint="default" w:ascii="Times New Roman" w:hAnsi="Times New Roman" w:eastAsia="宋体" w:cs="Times New Roman"/>
                      <w:b/>
                      <w:bCs/>
                      <w:color w:val="FF0000"/>
                      <w:kern w:val="2"/>
                      <w:sz w:val="21"/>
                      <w:szCs w:val="21"/>
                      <w:highlight w:val="none"/>
                      <w:lang w:val="en-GB" w:eastAsia="zh-CN" w:bidi="ar-SA"/>
                    </w:rPr>
                    <w:t>0.</w:t>
                  </w:r>
                  <w:r>
                    <w:rPr>
                      <w:rFonts w:hint="default" w:ascii="Times New Roman" w:hAnsi="Times New Roman" w:eastAsia="宋体" w:cs="Times New Roman"/>
                      <w:b/>
                      <w:bCs/>
                      <w:color w:val="FF0000"/>
                      <w:kern w:val="2"/>
                      <w:sz w:val="21"/>
                      <w:szCs w:val="21"/>
                      <w:highlight w:val="none"/>
                      <w:lang w:val="en-US" w:eastAsia="zh-CN" w:bidi="ar-SA"/>
                    </w:rPr>
                    <w:t>4</w:t>
                  </w:r>
                </w:p>
              </w:tc>
            </w:tr>
          </w:tbl>
          <w:p w14:paraId="71518F4E">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b/>
                <w:bCs/>
                <w:color w:val="FF0000"/>
                <w:sz w:val="22"/>
                <w:szCs w:val="22"/>
                <w:lang w:val="en-US" w:eastAsia="zh-CN"/>
              </w:rPr>
            </w:pPr>
            <w:r>
              <w:rPr>
                <w:rFonts w:hint="default" w:ascii="Times New Roman" w:hAnsi="Times New Roman" w:cs="Times New Roman"/>
                <w:color w:val="FF0000"/>
                <w:highlight w:val="none"/>
              </w:rPr>
              <w:t>Completion of the Bid Itemized Quotation Form</w:t>
            </w:r>
            <w:r>
              <w:rPr>
                <w:rFonts w:hint="default" w:ascii="Times New Roman" w:hAnsi="Times New Roman" w:cs="Times New Roman"/>
                <w:color w:val="FF0000"/>
                <w:highlight w:val="none"/>
                <w:lang w:val="en-US" w:eastAsia="zh-CN"/>
              </w:rPr>
              <w:t xml:space="preserve">: </w:t>
            </w:r>
            <w:r>
              <w:rPr>
                <w:rFonts w:hint="default" w:ascii="Times New Roman" w:hAnsi="Times New Roman" w:cs="Times New Roman"/>
                <w:color w:val="FF0000"/>
                <w:highlight w:val="none"/>
              </w:rPr>
              <w:t>(for Bids with Overseas Supply)</w:t>
            </w:r>
            <w:r>
              <w:rPr>
                <w:rFonts w:hint="default" w:ascii="Times New Roman" w:hAnsi="Times New Roman" w:cs="Times New Roman"/>
                <w:color w:val="FF0000"/>
                <w:highlight w:val="none"/>
                <w:lang w:val="en-US" w:eastAsia="zh-CN"/>
              </w:rPr>
              <w:t>, f</w:t>
            </w:r>
            <w:r>
              <w:rPr>
                <w:rFonts w:hint="default" w:ascii="Times New Roman" w:hAnsi="Times New Roman" w:cs="Times New Roman"/>
                <w:color w:val="FF0000"/>
                <w:highlight w:val="none"/>
              </w:rPr>
              <w:t xml:space="preserve">ill in the form in accordance with </w:t>
            </w:r>
            <w:r>
              <w:rPr>
                <w:rFonts w:hint="default" w:ascii="Times New Roman" w:hAnsi="Times New Roman" w:cs="Times New Roman"/>
                <w:color w:val="FF0000"/>
                <w:highlight w:val="none"/>
                <w:lang w:val="en-US" w:eastAsia="zh-CN"/>
              </w:rPr>
              <w:t>the f</w:t>
            </w:r>
            <w:r>
              <w:rPr>
                <w:rFonts w:hint="default" w:ascii="Times New Roman" w:hAnsi="Times New Roman" w:cs="Times New Roman"/>
                <w:color w:val="FF0000"/>
                <w:highlight w:val="none"/>
              </w:rPr>
              <w:t>orm</w:t>
            </w:r>
            <w:r>
              <w:rPr>
                <w:rFonts w:hint="default" w:ascii="Times New Roman" w:hAnsi="Times New Roman" w:cs="Times New Roman"/>
                <w:color w:val="FF0000"/>
                <w:highlight w:val="none"/>
                <w:lang w:val="en-US" w:eastAsia="zh-CN"/>
              </w:rPr>
              <w:t>at of</w:t>
            </w:r>
            <w:r>
              <w:rPr>
                <w:rFonts w:hint="default" w:ascii="Times New Roman" w:hAnsi="Times New Roman" w:cs="Times New Roman"/>
                <w:color w:val="FF0000"/>
                <w:highlight w:val="none"/>
              </w:rPr>
              <w:t xml:space="preserve"> IV-3-2 Bid Itemized Quotation Form (for Bids with Overseas Supply) specified in the Volume II</w:t>
            </w:r>
            <w:r>
              <w:rPr>
                <w:rFonts w:hint="default" w:ascii="Times New Roman" w:hAnsi="Times New Roman" w:cs="Times New Roman"/>
                <w:color w:val="FF0000"/>
                <w:highlight w:val="none"/>
                <w:lang w:val="en-US" w:eastAsia="zh-CN"/>
              </w:rPr>
              <w:t xml:space="preserve"> </w:t>
            </w:r>
            <w:r>
              <w:rPr>
                <w:rFonts w:hint="default" w:ascii="Times New Roman" w:hAnsi="Times New Roman" w:cs="Times New Roman"/>
                <w:color w:val="FF0000"/>
                <w:highlight w:val="none"/>
              </w:rPr>
              <w:t>bidding documents.</w:t>
            </w:r>
          </w:p>
        </w:tc>
        <w:tc>
          <w:tcPr>
            <w:tcW w:w="0" w:type="auto"/>
            <w:noWrap w:val="0"/>
            <w:vAlign w:val="top"/>
          </w:tcPr>
          <w:p w14:paraId="4CD338D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732C0313">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c>
          <w:tcPr>
            <w:tcW w:w="0" w:type="auto"/>
            <w:noWrap w:val="0"/>
            <w:vAlign w:val="top"/>
          </w:tcPr>
          <w:p w14:paraId="3A6EB9A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sz w:val="22"/>
                <w:szCs w:val="22"/>
                <w:lang w:val="en-US" w:eastAsia="zh-CN"/>
              </w:rPr>
            </w:pPr>
          </w:p>
        </w:tc>
      </w:tr>
      <w:tr w14:paraId="1B373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0" w:type="auto"/>
            <w:vMerge w:val="restart"/>
            <w:noWrap w:val="0"/>
            <w:vAlign w:val="center"/>
          </w:tcPr>
          <w:p w14:paraId="0D90624C">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宋体" w:cs="Times New Roman"/>
                <w:b w:val="0"/>
                <w:bCs w:val="0"/>
                <w:color w:val="000000"/>
                <w:sz w:val="22"/>
                <w:szCs w:val="22"/>
                <w:highlight w:val="none"/>
                <w:lang w:val="en-US" w:eastAsia="zh-CN"/>
              </w:rPr>
            </w:pPr>
            <w:r>
              <w:rPr>
                <w:rFonts w:hint="default" w:ascii="Times New Roman" w:hAnsi="Times New Roman" w:eastAsia="宋体" w:cs="Times New Roman"/>
                <w:b w:val="0"/>
                <w:bCs w:val="0"/>
                <w:color w:val="000000"/>
                <w:sz w:val="22"/>
                <w:szCs w:val="22"/>
                <w:highlight w:val="none"/>
                <w:lang w:val="en-US" w:eastAsia="zh-CN"/>
              </w:rPr>
              <w:t>7</w:t>
            </w:r>
          </w:p>
        </w:tc>
        <w:tc>
          <w:tcPr>
            <w:tcW w:w="0" w:type="auto"/>
            <w:vMerge w:val="restart"/>
            <w:noWrap w:val="0"/>
            <w:vAlign w:val="center"/>
          </w:tcPr>
          <w:p w14:paraId="275D4DC0">
            <w:pPr>
              <w:pStyle w:val="8"/>
              <w:keepNext w:val="0"/>
              <w:keepLines w:val="0"/>
              <w:widowControl/>
              <w:suppressLineNumbers w:val="0"/>
              <w:spacing w:before="0" w:beforeAutospacing="0" w:afterAutospacing="0"/>
              <w:ind w:left="0" w:leftChars="0" w:right="0" w:rightChars="0"/>
              <w:jc w:val="both"/>
              <w:rPr>
                <w:rFonts w:hint="default" w:ascii="Times New Roman" w:hAnsi="Times New Roman" w:eastAsia="宋体" w:cs="Times New Roman"/>
                <w:b w:val="0"/>
                <w:bCs w:val="0"/>
                <w:color w:val="auto"/>
                <w:kern w:val="2"/>
                <w:sz w:val="22"/>
                <w:szCs w:val="22"/>
                <w:lang w:val="en-GB" w:eastAsia="zh-CN" w:bidi="ar-SA"/>
              </w:rPr>
            </w:pPr>
            <w:r>
              <w:rPr>
                <w:rFonts w:hint="default" w:ascii="Times New Roman" w:hAnsi="Times New Roman" w:eastAsia="宋体" w:cs="Times New Roman"/>
                <w:sz w:val="21"/>
                <w:szCs w:val="21"/>
                <w:highlight w:val="none"/>
              </w:rPr>
              <w:t>Quality and intellectual property requirements</w:t>
            </w:r>
            <w:r>
              <w:rPr>
                <w:rFonts w:hint="default" w:ascii="Times New Roman" w:hAnsi="Times New Roman" w:eastAsia="宋体" w:cs="Times New Roman"/>
                <w:sz w:val="21"/>
                <w:szCs w:val="21"/>
                <w:highlight w:val="none"/>
                <w:lang w:val="en-US" w:eastAsia="zh-CN"/>
              </w:rPr>
              <w:t xml:space="preserve"> </w:t>
            </w:r>
          </w:p>
        </w:tc>
        <w:tc>
          <w:tcPr>
            <w:tcW w:w="0" w:type="auto"/>
            <w:noWrap w:val="0"/>
            <w:vAlign w:val="top"/>
          </w:tcPr>
          <w:p w14:paraId="64C8AB1A">
            <w:pPr>
              <w:pStyle w:val="8"/>
              <w:keepNext w:val="0"/>
              <w:keepLines w:val="0"/>
              <w:widowControl/>
              <w:suppressLineNumbers w:val="0"/>
              <w:spacing w:before="0" w:beforeAutospacing="0" w:afterAutospacing="0"/>
              <w:ind w:left="0" w:leftChars="0" w:right="0" w:rightChars="0"/>
              <w:jc w:val="both"/>
              <w:rPr>
                <w:rFonts w:hint="default" w:ascii="Times New Roman" w:hAnsi="Times New Roman" w:eastAsia="宋体" w:cs="Times New Roman"/>
                <w:b w:val="0"/>
                <w:bCs w:val="0"/>
                <w:color w:val="auto"/>
                <w:kern w:val="2"/>
                <w:sz w:val="22"/>
                <w:szCs w:val="22"/>
                <w:lang w:val="en-GB" w:eastAsia="zh-CN" w:bidi="ar-SA"/>
              </w:rPr>
            </w:pPr>
            <w:r>
              <w:rPr>
                <w:rFonts w:hint="default" w:ascii="Times New Roman" w:hAnsi="Times New Roman" w:eastAsia="宋体" w:cs="Times New Roman"/>
                <w:sz w:val="21"/>
                <w:szCs w:val="21"/>
                <w:highlight w:val="none"/>
              </w:rPr>
              <w:t xml:space="preserve">7.1 The goods (including spare parts) provided by the </w:t>
            </w:r>
            <w:r>
              <w:rPr>
                <w:rFonts w:hint="default" w:ascii="Times New Roman" w:hAnsi="Times New Roman" w:eastAsia="宋体" w:cs="Times New Roman"/>
                <w:sz w:val="21"/>
                <w:szCs w:val="21"/>
                <w:highlight w:val="none"/>
                <w:lang w:val="en-US" w:eastAsia="zh-CN"/>
              </w:rPr>
              <w:t>bid winner</w:t>
            </w:r>
            <w:r>
              <w:rPr>
                <w:rFonts w:hint="default" w:ascii="Times New Roman" w:hAnsi="Times New Roman" w:eastAsia="宋体" w:cs="Times New Roman"/>
                <w:sz w:val="21"/>
                <w:szCs w:val="21"/>
                <w:highlight w:val="none"/>
              </w:rPr>
              <w:t xml:space="preserve"> must be brand-new products, free from scratches, damage, defects, or hidden defects; they must be accompanied by complete technical documentation and bear the date of manufacture, manufacturer’s name, factory address, and certificate of conformity, among other required markings.</w:t>
            </w:r>
          </w:p>
        </w:tc>
        <w:tc>
          <w:tcPr>
            <w:tcW w:w="0" w:type="auto"/>
            <w:noWrap w:val="0"/>
            <w:vAlign w:val="top"/>
          </w:tcPr>
          <w:p w14:paraId="36872E72">
            <w:pPr>
              <w:pStyle w:val="8"/>
              <w:keepNext w:val="0"/>
              <w:keepLines w:val="0"/>
              <w:widowControl/>
              <w:suppressLineNumbers w:val="0"/>
              <w:spacing w:before="0" w:beforeAutospacing="0" w:afterAutospacing="0"/>
              <w:ind w:left="0" w:right="0" w:firstLine="440" w:firstLineChars="200"/>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7671980D">
            <w:pPr>
              <w:pStyle w:val="8"/>
              <w:keepNext w:val="0"/>
              <w:keepLines w:val="0"/>
              <w:widowControl/>
              <w:suppressLineNumbers w:val="0"/>
              <w:spacing w:before="0" w:beforeAutospacing="0" w:afterAutospacing="0"/>
              <w:ind w:left="0" w:right="0" w:firstLine="440" w:firstLineChars="200"/>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31CE2C42">
            <w:pPr>
              <w:pStyle w:val="8"/>
              <w:keepNext w:val="0"/>
              <w:keepLines w:val="0"/>
              <w:widowControl/>
              <w:suppressLineNumbers w:val="0"/>
              <w:spacing w:before="0" w:beforeAutospacing="0" w:afterAutospacing="0"/>
              <w:ind w:left="0" w:right="0" w:firstLine="440" w:firstLineChars="200"/>
              <w:rPr>
                <w:rFonts w:hint="default" w:ascii="Times New Roman" w:hAnsi="Times New Roman" w:eastAsia="宋体" w:cs="Times New Roman"/>
                <w:b w:val="0"/>
                <w:bCs w:val="0"/>
                <w:color w:val="auto"/>
                <w:kern w:val="2"/>
                <w:sz w:val="22"/>
                <w:szCs w:val="22"/>
                <w:lang w:val="en-GB" w:eastAsia="zh-CN" w:bidi="ar-SA"/>
              </w:rPr>
            </w:pPr>
          </w:p>
        </w:tc>
      </w:tr>
      <w:tr w14:paraId="2532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2" w:hRule="atLeast"/>
        </w:trPr>
        <w:tc>
          <w:tcPr>
            <w:tcW w:w="0" w:type="auto"/>
            <w:vMerge w:val="continue"/>
            <w:noWrap w:val="0"/>
            <w:vAlign w:val="center"/>
          </w:tcPr>
          <w:p w14:paraId="65B9324A">
            <w:pPr>
              <w:pStyle w:val="8"/>
              <w:keepNext w:val="0"/>
              <w:keepLines w:val="0"/>
              <w:widowControl/>
              <w:suppressLineNumbers w:val="0"/>
              <w:spacing w:before="0" w:beforeAutospacing="0" w:afterAutospacing="0"/>
              <w:ind w:left="0" w:right="0" w:firstLine="440" w:firstLineChars="200"/>
              <w:rPr>
                <w:rFonts w:hint="default" w:ascii="Times New Roman" w:hAnsi="Times New Roman" w:eastAsia="宋体" w:cs="Times New Roman"/>
                <w:sz w:val="22"/>
                <w:szCs w:val="22"/>
              </w:rPr>
            </w:pPr>
          </w:p>
        </w:tc>
        <w:tc>
          <w:tcPr>
            <w:tcW w:w="0" w:type="auto"/>
            <w:vMerge w:val="continue"/>
            <w:noWrap w:val="0"/>
            <w:vAlign w:val="center"/>
          </w:tcPr>
          <w:p w14:paraId="1AC5C4B0">
            <w:pPr>
              <w:pStyle w:val="8"/>
              <w:keepNext w:val="0"/>
              <w:keepLines w:val="0"/>
              <w:widowControl/>
              <w:suppressLineNumbers w:val="0"/>
              <w:spacing w:before="0" w:beforeAutospacing="0" w:afterAutospacing="0"/>
              <w:ind w:left="0" w:leftChars="0" w:right="0" w:rightChars="0" w:firstLine="440" w:firstLineChars="200"/>
              <w:jc w:val="both"/>
              <w:rPr>
                <w:rFonts w:hint="default" w:ascii="Times New Roman" w:hAnsi="Times New Roman" w:eastAsia="宋体" w:cs="Times New Roman"/>
                <w:sz w:val="22"/>
                <w:szCs w:val="22"/>
              </w:rPr>
            </w:pPr>
          </w:p>
        </w:tc>
        <w:tc>
          <w:tcPr>
            <w:tcW w:w="0" w:type="auto"/>
            <w:noWrap w:val="0"/>
            <w:vAlign w:val="top"/>
          </w:tcPr>
          <w:p w14:paraId="588C4C4D">
            <w:pPr>
              <w:pStyle w:val="8"/>
              <w:keepNext w:val="0"/>
              <w:keepLines w:val="0"/>
              <w:widowControl/>
              <w:suppressLineNumbers w:val="0"/>
              <w:pBdr>
                <w:top w:val="none" w:color="auto" w:sz="0" w:space="0"/>
                <w:left w:val="none" w:color="auto" w:sz="0" w:space="0"/>
                <w:right w:val="none" w:color="auto" w:sz="0" w:space="0"/>
              </w:pBdr>
              <w:bidi w:val="0"/>
              <w:spacing w:before="0" w:beforeAutospacing="0" w:after="0" w:afterAutospacing="0"/>
              <w:ind w:left="0" w:leftChars="0" w:right="0" w:rightChars="0"/>
              <w:jc w:val="both"/>
              <w:rPr>
                <w:rFonts w:hint="default" w:ascii="Times New Roman" w:hAnsi="Times New Roman" w:eastAsia="宋体" w:cs="Times New Roman"/>
                <w:b w:val="0"/>
                <w:bCs w:val="0"/>
                <w:color w:val="auto"/>
                <w:kern w:val="2"/>
                <w:sz w:val="22"/>
                <w:szCs w:val="22"/>
                <w:lang w:val="en-GB" w:eastAsia="zh-CN" w:bidi="ar-SA"/>
              </w:rPr>
            </w:pPr>
            <w:r>
              <w:rPr>
                <w:rFonts w:hint="default" w:ascii="Times New Roman" w:hAnsi="Times New Roman" w:eastAsia="宋体" w:cs="Times New Roman"/>
                <w:color w:val="000000"/>
                <w:kern w:val="0"/>
                <w:sz w:val="21"/>
                <w:szCs w:val="21"/>
                <w:highlight w:val="none"/>
                <w:lang w:val="en-US" w:eastAsia="zh-CN" w:bidi="ar"/>
              </w:rPr>
              <w:t xml:space="preserve">7.2 </w:t>
            </w:r>
            <w:r>
              <w:rPr>
                <w:rFonts w:hint="default" w:ascii="Times New Roman" w:hAnsi="Times New Roman" w:eastAsia="宋体" w:cs="Times New Roman"/>
                <w:sz w:val="21"/>
                <w:szCs w:val="21"/>
                <w:highlight w:val="none"/>
                <w:lang w:val="en-GB" w:eastAsia="zh-CN"/>
              </w:rPr>
              <w:t xml:space="preserve">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guarantees that the sourcing channels for the goods are lawful, and that the goods may be safely and legally used in the ordinary course of business.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warrants that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shall be held harmless from any lawsuits or judicial intervention brought by any third party alleging that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’s use of the goods or any part thereof infringes upon the lawful rights and interests of the third party, including but not limited to copyrights, patents, trademarks, portrait rights, trade secrets, technical know-how, and other legitimate rights. In the event of any such lawsuit or judicial intervention, all legal liabilities (including but not limited to third-party claims against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or any other losses suffered by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shall be borne by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After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has assumed any such liability,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shall have the right to seek full recourse against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er, including but not limited to all expenses incurred in resolving the dispute, such as litigation costs, attorney’s fees, and other associated costs.</w:t>
            </w:r>
          </w:p>
        </w:tc>
        <w:tc>
          <w:tcPr>
            <w:tcW w:w="0" w:type="auto"/>
            <w:noWrap w:val="0"/>
            <w:vAlign w:val="top"/>
          </w:tcPr>
          <w:p w14:paraId="4BDA5953">
            <w:pPr>
              <w:pStyle w:val="8"/>
              <w:keepNext w:val="0"/>
              <w:keepLines w:val="0"/>
              <w:widowControl/>
              <w:suppressLineNumbers w:val="0"/>
              <w:spacing w:before="0" w:beforeAutospacing="0" w:afterAutospacing="0"/>
              <w:ind w:left="0" w:right="0"/>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63F52F0B">
            <w:pPr>
              <w:pStyle w:val="8"/>
              <w:keepNext w:val="0"/>
              <w:keepLines w:val="0"/>
              <w:widowControl/>
              <w:suppressLineNumbers w:val="0"/>
              <w:spacing w:before="0" w:beforeAutospacing="0" w:afterAutospacing="0"/>
              <w:ind w:left="0" w:right="0"/>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0A09E576">
            <w:pPr>
              <w:pStyle w:val="8"/>
              <w:keepNext w:val="0"/>
              <w:keepLines w:val="0"/>
              <w:widowControl/>
              <w:suppressLineNumbers w:val="0"/>
              <w:spacing w:before="0" w:beforeAutospacing="0" w:afterAutospacing="0"/>
              <w:ind w:left="0" w:right="0"/>
              <w:rPr>
                <w:rFonts w:hint="default" w:ascii="Times New Roman" w:hAnsi="Times New Roman" w:eastAsia="宋体" w:cs="Times New Roman"/>
                <w:b w:val="0"/>
                <w:bCs w:val="0"/>
                <w:color w:val="auto"/>
                <w:kern w:val="2"/>
                <w:sz w:val="22"/>
                <w:szCs w:val="22"/>
                <w:lang w:val="en-GB" w:eastAsia="zh-CN" w:bidi="ar-SA"/>
              </w:rPr>
            </w:pPr>
          </w:p>
        </w:tc>
      </w:tr>
      <w:tr w14:paraId="6C56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7" w:hRule="atLeast"/>
        </w:trPr>
        <w:tc>
          <w:tcPr>
            <w:tcW w:w="0" w:type="auto"/>
            <w:vMerge w:val="continue"/>
            <w:noWrap w:val="0"/>
            <w:vAlign w:val="center"/>
          </w:tcPr>
          <w:p w14:paraId="5024F8B7">
            <w:pPr>
              <w:pStyle w:val="8"/>
              <w:keepNext w:val="0"/>
              <w:keepLines w:val="0"/>
              <w:widowControl/>
              <w:suppressLineNumbers w:val="0"/>
              <w:spacing w:before="0" w:beforeAutospacing="0" w:afterAutospacing="0"/>
              <w:ind w:left="0" w:right="0" w:firstLine="440" w:firstLineChars="200"/>
              <w:rPr>
                <w:rFonts w:hint="default" w:ascii="Times New Roman" w:hAnsi="Times New Roman" w:eastAsia="宋体" w:cs="Times New Roman"/>
                <w:sz w:val="22"/>
                <w:szCs w:val="22"/>
              </w:rPr>
            </w:pPr>
          </w:p>
        </w:tc>
        <w:tc>
          <w:tcPr>
            <w:tcW w:w="0" w:type="auto"/>
            <w:vMerge w:val="continue"/>
            <w:noWrap w:val="0"/>
            <w:vAlign w:val="center"/>
          </w:tcPr>
          <w:p w14:paraId="4D134EF9">
            <w:pPr>
              <w:pStyle w:val="8"/>
              <w:keepNext w:val="0"/>
              <w:keepLines w:val="0"/>
              <w:widowControl/>
              <w:suppressLineNumbers w:val="0"/>
              <w:spacing w:before="0" w:beforeAutospacing="0" w:afterAutospacing="0"/>
              <w:ind w:left="0" w:leftChars="0" w:right="0" w:rightChars="0" w:firstLine="440" w:firstLineChars="200"/>
              <w:jc w:val="both"/>
              <w:rPr>
                <w:rFonts w:hint="default" w:ascii="Times New Roman" w:hAnsi="Times New Roman" w:eastAsia="宋体" w:cs="Times New Roman"/>
                <w:sz w:val="22"/>
                <w:szCs w:val="22"/>
              </w:rPr>
            </w:pPr>
          </w:p>
        </w:tc>
        <w:tc>
          <w:tcPr>
            <w:tcW w:w="0" w:type="auto"/>
            <w:noWrap w:val="0"/>
            <w:vAlign w:val="top"/>
          </w:tcPr>
          <w:p w14:paraId="59D2AF38">
            <w:pPr>
              <w:pStyle w:val="8"/>
              <w:keepNext w:val="0"/>
              <w:keepLines w:val="0"/>
              <w:widowControl/>
              <w:suppressLineNumbers w:val="0"/>
              <w:spacing w:before="0" w:beforeAutospacing="0" w:afterAutospacing="0"/>
              <w:ind w:left="0" w:leftChars="0" w:right="0" w:rightChars="0"/>
              <w:jc w:val="both"/>
              <w:rPr>
                <w:rFonts w:hint="default" w:ascii="Times New Roman" w:hAnsi="Times New Roman" w:eastAsia="宋体" w:cs="Times New Roman"/>
                <w:b w:val="0"/>
                <w:bCs w:val="0"/>
                <w:color w:val="auto"/>
                <w:kern w:val="2"/>
                <w:sz w:val="22"/>
                <w:szCs w:val="22"/>
                <w:lang w:val="en-GB" w:eastAsia="zh-CN" w:bidi="ar-SA"/>
              </w:rPr>
            </w:pPr>
            <w:r>
              <w:rPr>
                <w:rFonts w:hint="default" w:ascii="Times New Roman" w:hAnsi="Times New Roman" w:eastAsia="宋体" w:cs="Times New Roman"/>
                <w:sz w:val="21"/>
                <w:szCs w:val="21"/>
                <w:highlight w:val="none"/>
              </w:rPr>
              <w:t xml:space="preserve">7.3 </w:t>
            </w:r>
            <w:r>
              <w:rPr>
                <w:rFonts w:hint="default" w:ascii="Times New Roman" w:hAnsi="Times New Roman" w:eastAsia="宋体" w:cs="Times New Roman"/>
                <w:sz w:val="21"/>
                <w:szCs w:val="21"/>
                <w:highlight w:val="none"/>
                <w:lang w:val="en-GB" w:eastAsia="zh-CN"/>
              </w:rPr>
              <w:t xml:space="preserve">If the goods delivered by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include bundled software,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warrants that it lawfully owns the independent intellectual property rights to such software (or holds a valid authorization license from the software copyright holder). In addition,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shall guarantee that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lawfully enjoys a perpetual, royalty-free right to use the said software. If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fails to obtain the proprietary intellectual property rights or lawful usage rights to the bundled software, resulting in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being unable to use the software on a perpetual, royalty-free basis, or causing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to become involved in a dispute with a third party regarding the use of the software, the </w:t>
            </w:r>
            <w:r>
              <w:rPr>
                <w:rFonts w:hint="default" w:ascii="Times New Roman" w:hAnsi="Times New Roman" w:eastAsia="宋体" w:cs="Times New Roman"/>
                <w:sz w:val="21"/>
                <w:szCs w:val="21"/>
                <w:highlight w:val="none"/>
                <w:lang w:val="en-US" w:eastAsia="zh-CN"/>
              </w:rPr>
              <w:t>bid winn</w:t>
            </w:r>
            <w:r>
              <w:rPr>
                <w:rFonts w:hint="default" w:ascii="Times New Roman" w:hAnsi="Times New Roman" w:eastAsia="宋体" w:cs="Times New Roman"/>
                <w:sz w:val="21"/>
                <w:szCs w:val="21"/>
                <w:highlight w:val="none"/>
                <w:lang w:val="en-GB" w:eastAsia="zh-CN"/>
              </w:rPr>
              <w:t xml:space="preserve">er shall compensate the </w:t>
            </w:r>
            <w:r>
              <w:rPr>
                <w:rFonts w:hint="default" w:ascii="Times New Roman" w:hAnsi="Times New Roman" w:eastAsia="宋体" w:cs="Times New Roman"/>
                <w:sz w:val="21"/>
                <w:szCs w:val="21"/>
                <w:highlight w:val="none"/>
                <w:lang w:val="en-US" w:eastAsia="zh-CN"/>
              </w:rPr>
              <w:t>tenderee</w:t>
            </w:r>
            <w:r>
              <w:rPr>
                <w:rFonts w:hint="default" w:ascii="Times New Roman" w:hAnsi="Times New Roman" w:eastAsia="宋体" w:cs="Times New Roman"/>
                <w:sz w:val="21"/>
                <w:szCs w:val="21"/>
                <w:highlight w:val="none"/>
                <w:lang w:val="en-GB" w:eastAsia="zh-CN"/>
              </w:rPr>
              <w:t xml:space="preserve"> for all direct and indirect losses incurred.</w:t>
            </w:r>
            <w:r>
              <w:rPr>
                <w:rFonts w:hint="default" w:ascii="Times New Roman" w:hAnsi="Times New Roman" w:eastAsia="宋体" w:cs="Times New Roman"/>
                <w:sz w:val="21"/>
                <w:szCs w:val="21"/>
                <w:highlight w:val="none"/>
                <w:lang w:val="en-US" w:eastAsia="zh-CN"/>
              </w:rPr>
              <w:t xml:space="preserve"> </w:t>
            </w:r>
          </w:p>
        </w:tc>
        <w:tc>
          <w:tcPr>
            <w:tcW w:w="0" w:type="auto"/>
            <w:noWrap w:val="0"/>
            <w:vAlign w:val="top"/>
          </w:tcPr>
          <w:p w14:paraId="672C0D3E">
            <w:pPr>
              <w:pStyle w:val="8"/>
              <w:keepNext w:val="0"/>
              <w:keepLines w:val="0"/>
              <w:widowControl/>
              <w:suppressLineNumbers w:val="0"/>
              <w:spacing w:before="0" w:beforeAutospacing="0" w:afterAutospacing="0"/>
              <w:ind w:left="0" w:right="0"/>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4DAFFA3A">
            <w:pPr>
              <w:pStyle w:val="8"/>
              <w:keepNext w:val="0"/>
              <w:keepLines w:val="0"/>
              <w:widowControl/>
              <w:suppressLineNumbers w:val="0"/>
              <w:spacing w:before="0" w:beforeAutospacing="0" w:afterAutospacing="0"/>
              <w:ind w:left="0" w:right="0"/>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455E790B">
            <w:pPr>
              <w:pStyle w:val="8"/>
              <w:keepNext w:val="0"/>
              <w:keepLines w:val="0"/>
              <w:widowControl/>
              <w:suppressLineNumbers w:val="0"/>
              <w:spacing w:before="0" w:beforeAutospacing="0" w:afterAutospacing="0"/>
              <w:ind w:left="0" w:right="0"/>
              <w:rPr>
                <w:rFonts w:hint="default" w:ascii="Times New Roman" w:hAnsi="Times New Roman" w:eastAsia="宋体" w:cs="Times New Roman"/>
                <w:b w:val="0"/>
                <w:bCs w:val="0"/>
                <w:color w:val="auto"/>
                <w:kern w:val="2"/>
                <w:sz w:val="22"/>
                <w:szCs w:val="22"/>
                <w:lang w:val="en-GB" w:eastAsia="zh-CN" w:bidi="ar-SA"/>
              </w:rPr>
            </w:pPr>
          </w:p>
        </w:tc>
      </w:tr>
      <w:tr w14:paraId="27AB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0" w:type="auto"/>
            <w:vMerge w:val="restart"/>
            <w:noWrap w:val="0"/>
            <w:vAlign w:val="center"/>
          </w:tcPr>
          <w:p w14:paraId="5431CF1C">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宋体" w:cs="Times New Roman"/>
                <w:b w:val="0"/>
                <w:bCs w:val="0"/>
                <w:color w:val="auto"/>
                <w:kern w:val="2"/>
                <w:sz w:val="22"/>
                <w:szCs w:val="22"/>
                <w:lang w:val="en-US" w:eastAsia="zh-CN" w:bidi="ar-SA"/>
              </w:rPr>
            </w:pPr>
            <w:r>
              <w:rPr>
                <w:rFonts w:hint="default" w:ascii="Times New Roman" w:hAnsi="Times New Roman" w:eastAsia="宋体" w:cs="Times New Roman"/>
                <w:b w:val="0"/>
                <w:bCs w:val="0"/>
                <w:color w:val="auto"/>
                <w:kern w:val="2"/>
                <w:sz w:val="22"/>
                <w:szCs w:val="22"/>
                <w:lang w:val="en-US" w:eastAsia="zh-CN" w:bidi="ar-SA"/>
              </w:rPr>
              <w:t>8</w:t>
            </w:r>
          </w:p>
        </w:tc>
        <w:tc>
          <w:tcPr>
            <w:tcW w:w="0" w:type="auto"/>
            <w:vMerge w:val="restart"/>
            <w:noWrap w:val="0"/>
            <w:vAlign w:val="center"/>
          </w:tcPr>
          <w:p w14:paraId="533945D2">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1"/>
                <w:szCs w:val="21"/>
                <w:highlight w:val="none"/>
              </w:rPr>
              <w:t>*</w:t>
            </w:r>
            <w:r>
              <w:rPr>
                <w:rFonts w:hint="default" w:ascii="Times New Roman" w:hAnsi="Times New Roman" w:eastAsia="宋体" w:cs="Times New Roman"/>
                <w:color w:val="FF0000"/>
                <w:sz w:val="21"/>
                <w:szCs w:val="21"/>
                <w:highlight w:val="none"/>
                <w:lang w:val="en-US" w:eastAsia="zh-CN"/>
              </w:rPr>
              <w:t>L</w:t>
            </w:r>
            <w:r>
              <w:rPr>
                <w:rFonts w:hint="default" w:ascii="Times New Roman" w:hAnsi="Times New Roman" w:eastAsia="宋体" w:cs="Times New Roman"/>
                <w:color w:val="FF0000"/>
                <w:sz w:val="21"/>
                <w:szCs w:val="21"/>
                <w:highlight w:val="none"/>
              </w:rPr>
              <w:t>iability for breach of contract</w:t>
            </w:r>
          </w:p>
        </w:tc>
        <w:tc>
          <w:tcPr>
            <w:tcW w:w="0" w:type="auto"/>
            <w:noWrap w:val="0"/>
            <w:vAlign w:val="top"/>
          </w:tcPr>
          <w:p w14:paraId="4995AB55">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1"/>
                <w:szCs w:val="21"/>
                <w:highlight w:val="none"/>
                <w:lang w:val="en-US" w:eastAsia="zh-CN"/>
              </w:rPr>
              <w:t xml:space="preserve">(1) </w:t>
            </w:r>
            <w:r>
              <w:rPr>
                <w:rFonts w:hint="default" w:ascii="Times New Roman" w:hAnsi="Times New Roman" w:eastAsia="宋体" w:cs="Times New Roman"/>
                <w:color w:val="FF0000"/>
                <w:sz w:val="22"/>
                <w:highlight w:val="none"/>
                <w:lang w:val="en-GB"/>
              </w:rPr>
              <w:t xml:space="preserve">In the event that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fails to deliver the goods or fails to complete the installation and commissioning to a satisfactory standard by the agreed deadline,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pay liquidated damages for late delivery to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The liquidated damages shall be calculated at 5‰ of the total goods price under this Agreement for each day of delay.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shall have the right to directly deduct such liquidated damages from any contract payments due to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Moreover,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shall have the option to either require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to continue delivering the goods until they fully meet the requirements of this Project, or to terminate the contract in accordance with the provisions of Paragraph (4) of this Clause and hold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liable for breach.</w:t>
            </w:r>
          </w:p>
        </w:tc>
        <w:tc>
          <w:tcPr>
            <w:tcW w:w="0" w:type="auto"/>
            <w:noWrap w:val="0"/>
            <w:vAlign w:val="top"/>
          </w:tcPr>
          <w:p w14:paraId="346D1C15">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US" w:eastAsia="zh-CN" w:bidi="ar-SA"/>
              </w:rPr>
            </w:pPr>
          </w:p>
        </w:tc>
        <w:tc>
          <w:tcPr>
            <w:tcW w:w="0" w:type="auto"/>
            <w:noWrap w:val="0"/>
            <w:vAlign w:val="top"/>
          </w:tcPr>
          <w:p w14:paraId="22E52A26">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US" w:eastAsia="zh-CN" w:bidi="ar-SA"/>
              </w:rPr>
            </w:pPr>
          </w:p>
        </w:tc>
        <w:tc>
          <w:tcPr>
            <w:tcW w:w="0" w:type="auto"/>
            <w:noWrap w:val="0"/>
            <w:vAlign w:val="top"/>
          </w:tcPr>
          <w:p w14:paraId="3A2FD5F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US" w:eastAsia="zh-CN" w:bidi="ar-SA"/>
              </w:rPr>
            </w:pPr>
          </w:p>
        </w:tc>
      </w:tr>
      <w:tr w14:paraId="387B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 w:hRule="atLeast"/>
        </w:trPr>
        <w:tc>
          <w:tcPr>
            <w:tcW w:w="0" w:type="auto"/>
            <w:vMerge w:val="continue"/>
            <w:noWrap w:val="0"/>
            <w:vAlign w:val="center"/>
          </w:tcPr>
          <w:p w14:paraId="1AA0B8EE">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vMerge w:val="continue"/>
            <w:noWrap w:val="0"/>
            <w:vAlign w:val="center"/>
          </w:tcPr>
          <w:p w14:paraId="693AF825">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p>
        </w:tc>
        <w:tc>
          <w:tcPr>
            <w:tcW w:w="0" w:type="auto"/>
            <w:noWrap w:val="0"/>
            <w:vAlign w:val="top"/>
          </w:tcPr>
          <w:p w14:paraId="73D5AB5B">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2"/>
                <w:highlight w:val="none"/>
                <w:lang w:val="en-GB"/>
              </w:rPr>
              <w:t xml:space="preserve">(2) If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or the warranty service provider fails to provide warranty services in line with provisions of the tender documents for this Project,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shall have the right to engage a third party at its own discretion to provide the required technical support and after-sales services. All resulting costs and losses incurred thereby, including but not limited to the third-party maintenance expenses and any other economic losses suffered by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shall be borne by the warranty service provider and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who shall the bear joint and several liability for such compensation.</w:t>
            </w:r>
          </w:p>
        </w:tc>
        <w:tc>
          <w:tcPr>
            <w:tcW w:w="0" w:type="auto"/>
            <w:noWrap w:val="0"/>
            <w:vAlign w:val="top"/>
          </w:tcPr>
          <w:p w14:paraId="01D3F377">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US" w:eastAsia="zh-CN" w:bidi="ar-SA"/>
              </w:rPr>
            </w:pPr>
          </w:p>
        </w:tc>
        <w:tc>
          <w:tcPr>
            <w:tcW w:w="0" w:type="auto"/>
            <w:noWrap w:val="0"/>
            <w:vAlign w:val="top"/>
          </w:tcPr>
          <w:p w14:paraId="38E0C43F">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US" w:eastAsia="zh-CN" w:bidi="ar-SA"/>
              </w:rPr>
            </w:pPr>
          </w:p>
        </w:tc>
        <w:tc>
          <w:tcPr>
            <w:tcW w:w="0" w:type="auto"/>
            <w:noWrap w:val="0"/>
            <w:vAlign w:val="top"/>
          </w:tcPr>
          <w:p w14:paraId="09A994F7">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US" w:eastAsia="zh-CN" w:bidi="ar-SA"/>
              </w:rPr>
            </w:pPr>
          </w:p>
        </w:tc>
      </w:tr>
      <w:tr w14:paraId="23B96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0" w:type="auto"/>
            <w:vMerge w:val="continue"/>
            <w:noWrap w:val="0"/>
            <w:vAlign w:val="center"/>
          </w:tcPr>
          <w:p w14:paraId="603B0516">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vMerge w:val="continue"/>
            <w:noWrap w:val="0"/>
            <w:vAlign w:val="center"/>
          </w:tcPr>
          <w:p w14:paraId="4A0B5E56">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p>
        </w:tc>
        <w:tc>
          <w:tcPr>
            <w:tcW w:w="0" w:type="auto"/>
            <w:noWrap w:val="0"/>
            <w:vAlign w:val="top"/>
          </w:tcPr>
          <w:p w14:paraId="7C893DF1">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(3) If the goods provided by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fail to comply with the provisions of the tender documents for this Project, or are unable to reach a normal operating condition, and consequently fail to pass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’s acceptance inspection, or if they have passed acceptance inspection but are still within the warranty period,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shall have the right to choose one of the following remedies:</w:t>
            </w:r>
          </w:p>
          <w:p w14:paraId="2635FFDA">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a. Reject the goods, terminate this Contract, and demand a refund from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Additionally,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be required to pay liquidated damages equal to 10% of the total goods value, and all expenses incurred from the return of the goods shall be borne by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w:t>
            </w:r>
          </w:p>
          <w:p w14:paraId="3BC83476">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b. Accept the replacement goods redelivered by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which shall be deemed as late delivery.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bear the liability for breach of contract in accordance with the provisions of Paragraph (1) of this Clause. The period of delay shall commence from the originally agreed delivery date, and shall continue until the date the replacement goods pass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’s acceptance inspection;</w:t>
            </w:r>
          </w:p>
          <w:p w14:paraId="29EC03AD">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c. Require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to ensure quality, provide warranty services, and maintain the goods. Moreover,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shall have the right to require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to replace or return the goods within a specified time limit, and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bear the actual costs incurred for repairs, replacements, or returns. If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fails to replace or return the goods within the time limit required by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it shall also bear the liability for breach of contract in accordance with the provisions of Paragraph (1) of this Clause. The delay period shall commence from the originally agreed delivery date;</w:t>
            </w:r>
          </w:p>
          <w:p w14:paraId="40AA10B8">
            <w:pPr>
              <w:keepNext w:val="0"/>
              <w:keepLines w:val="0"/>
              <w:widowControl/>
              <w:numPr>
                <w:ilvl w:val="-1"/>
                <w:numId w:val="0"/>
              </w:numPr>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2"/>
                <w:highlight w:val="none"/>
                <w:lang w:val="en-GB"/>
              </w:rPr>
              <w:t xml:space="preserve">d. Accept the defective goods on a reserved basis.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waives its right to part or all of the remaining balance for the goods, which shall be allocated as compensation to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for such reserved acceptance. The exact amount of the waived remaining balance shall be determined at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’s sole discretion. If the waived part or all of the remaining balance is insufficient to cover the losses suffered by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bear separate liability for additional compensation to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w:t>
            </w:r>
          </w:p>
        </w:tc>
        <w:tc>
          <w:tcPr>
            <w:tcW w:w="0" w:type="auto"/>
            <w:noWrap w:val="0"/>
            <w:vAlign w:val="top"/>
          </w:tcPr>
          <w:p w14:paraId="370395EC">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7770D35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4BAE78E6">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r>
      <w:tr w14:paraId="1EBC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 w:hRule="atLeast"/>
        </w:trPr>
        <w:tc>
          <w:tcPr>
            <w:tcW w:w="0" w:type="auto"/>
            <w:vMerge w:val="continue"/>
            <w:noWrap w:val="0"/>
            <w:vAlign w:val="center"/>
          </w:tcPr>
          <w:p w14:paraId="720026E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vMerge w:val="continue"/>
            <w:noWrap w:val="0"/>
            <w:vAlign w:val="center"/>
          </w:tcPr>
          <w:p w14:paraId="2DC35B4F">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p>
        </w:tc>
        <w:tc>
          <w:tcPr>
            <w:tcW w:w="0" w:type="auto"/>
            <w:noWrap w:val="0"/>
            <w:vAlign w:val="top"/>
          </w:tcPr>
          <w:p w14:paraId="56AA6D38">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(4) Under any of the following circumstances,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shall have the right to terminate the contract.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refund all payments previously made by the entrusted foreign trade agency on behalf of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and pay liquidated damages equal to 10% of the total agreement value to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If the liquidated damages are insufficient to cover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’s losses,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pay additional compensation to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The specific circumstances are as follows:</w:t>
            </w:r>
          </w:p>
          <w:p w14:paraId="21478FA9">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a. The goods delivered by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infringe upon the intellectual property rights, portrait rights, technical secrets, trade secrets, or any other rights and interests of a third party;</w:t>
            </w:r>
          </w:p>
          <w:p w14:paraId="5DFE5ED1">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b.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’s delivery of the goods, or the completion of installation and commissioning to a satisfactory standard, is delayed by more than 60 days;</w:t>
            </w:r>
          </w:p>
          <w:p w14:paraId="05691457">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c.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’s performance of its obligations fails to comply with the agreement, and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fails to rectify the non-compliance within a reasonable time limit after being notified by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w:t>
            </w:r>
          </w:p>
          <w:p w14:paraId="68346DF9">
            <w:pPr>
              <w:keepNext w:val="0"/>
              <w:keepLines w:val="0"/>
              <w:widowControl/>
              <w:suppressLineNumbers w:val="0"/>
              <w:spacing w:before="0" w:beforeAutospacing="0" w:after="0" w:afterAutospacing="0" w:line="440" w:lineRule="exact"/>
              <w:ind w:left="0" w:right="0"/>
              <w:jc w:val="both"/>
              <w:rPr>
                <w:rFonts w:hint="default" w:ascii="Times New Roman" w:hAnsi="Times New Roman" w:eastAsia="宋体" w:cs="Times New Roman"/>
                <w:color w:val="FF0000"/>
                <w:sz w:val="22"/>
                <w:highlight w:val="none"/>
                <w:lang w:val="en-GB"/>
              </w:rPr>
            </w:pPr>
            <w:r>
              <w:rPr>
                <w:rFonts w:hint="default" w:ascii="Times New Roman" w:hAnsi="Times New Roman" w:eastAsia="宋体" w:cs="Times New Roman"/>
                <w:color w:val="FF0000"/>
                <w:sz w:val="22"/>
                <w:highlight w:val="none"/>
                <w:lang w:val="en-GB"/>
              </w:rPr>
              <w:t xml:space="preserve">d. Without the prior written consent of the </w:t>
            </w:r>
            <w:r>
              <w:rPr>
                <w:rFonts w:hint="default" w:ascii="Times New Roman" w:hAnsi="Times New Roman" w:eastAsia="宋体" w:cs="Times New Roman"/>
                <w:color w:val="FF0000"/>
                <w:sz w:val="22"/>
                <w:highlight w:val="none"/>
                <w:lang w:val="en-GB" w:eastAsia="zh-CN"/>
              </w:rPr>
              <w:t>tenderee</w:t>
            </w:r>
            <w:r>
              <w:rPr>
                <w:rFonts w:hint="default" w:ascii="Times New Roman" w:hAnsi="Times New Roman" w:eastAsia="宋体" w:cs="Times New Roman"/>
                <w:color w:val="FF0000"/>
                <w:sz w:val="22"/>
                <w:highlight w:val="none"/>
                <w:lang w:val="en-GB"/>
              </w:rPr>
              <w:t xml:space="preserv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assigns its rights or obligations under this Project, or subcontracts or delegates the services under this Project;</w:t>
            </w:r>
          </w:p>
          <w:p w14:paraId="3171694F">
            <w:pPr>
              <w:keepNext w:val="0"/>
              <w:keepLines w:val="0"/>
              <w:widowControl/>
              <w:numPr>
                <w:ilvl w:val="-1"/>
                <w:numId w:val="0"/>
              </w:numPr>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2"/>
                <w:highlight w:val="none"/>
                <w:lang w:val="en-GB"/>
              </w:rPr>
              <w:t>e. Other circumstances stipulated by applicable laws.</w:t>
            </w:r>
          </w:p>
        </w:tc>
        <w:tc>
          <w:tcPr>
            <w:tcW w:w="0" w:type="auto"/>
            <w:noWrap w:val="0"/>
            <w:vAlign w:val="top"/>
          </w:tcPr>
          <w:p w14:paraId="5B204275">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6175AA4F">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3D95720B">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r>
      <w:tr w14:paraId="3571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0" w:type="auto"/>
            <w:vMerge w:val="continue"/>
            <w:noWrap w:val="0"/>
            <w:vAlign w:val="center"/>
          </w:tcPr>
          <w:p w14:paraId="098873A8">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vMerge w:val="continue"/>
            <w:noWrap w:val="0"/>
            <w:vAlign w:val="center"/>
          </w:tcPr>
          <w:p w14:paraId="7EDF170C">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p>
        </w:tc>
        <w:tc>
          <w:tcPr>
            <w:tcW w:w="0" w:type="auto"/>
            <w:noWrap w:val="0"/>
            <w:vAlign w:val="top"/>
          </w:tcPr>
          <w:p w14:paraId="647C3E44">
            <w:pPr>
              <w:keepNext w:val="0"/>
              <w:keepLines w:val="0"/>
              <w:widowControl/>
              <w:numPr>
                <w:ilvl w:val="0"/>
                <w:numId w:val="0"/>
              </w:numPr>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2"/>
                <w:highlight w:val="none"/>
                <w:lang w:val="en-GB"/>
              </w:rPr>
              <w:t>(5) For the purposes of this Project, “losses” shall include direct economic losses, the expected profits obtainable upon the performance of this Agreement, and relevant legal costs such as reasonable investigation fees, appraisal fees, notarization fees, arbitration fees, litigation fees, travel expenses, attorney’s fees, and other related expenses.</w:t>
            </w:r>
          </w:p>
        </w:tc>
        <w:tc>
          <w:tcPr>
            <w:tcW w:w="0" w:type="auto"/>
            <w:noWrap w:val="0"/>
            <w:vAlign w:val="top"/>
          </w:tcPr>
          <w:p w14:paraId="517F1B60">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15869A34">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7437E24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r>
      <w:tr w14:paraId="449C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0" w:type="auto"/>
            <w:vMerge w:val="continue"/>
            <w:noWrap w:val="0"/>
            <w:vAlign w:val="center"/>
          </w:tcPr>
          <w:p w14:paraId="439CCB09">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vMerge w:val="continue"/>
            <w:noWrap w:val="0"/>
            <w:vAlign w:val="center"/>
          </w:tcPr>
          <w:p w14:paraId="0891095A">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p>
        </w:tc>
        <w:tc>
          <w:tcPr>
            <w:tcW w:w="0" w:type="auto"/>
            <w:noWrap w:val="0"/>
            <w:vAlign w:val="top"/>
          </w:tcPr>
          <w:p w14:paraId="256188C1">
            <w:pPr>
              <w:keepNext w:val="0"/>
              <w:keepLines w:val="0"/>
              <w:widowControl/>
              <w:suppressLineNumbers w:val="0"/>
              <w:spacing w:before="0" w:beforeAutospacing="0" w:after="0" w:afterAutospacing="0" w:line="240" w:lineRule="auto"/>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2"/>
                <w:highlight w:val="none"/>
                <w:lang w:val="en-GB"/>
              </w:rPr>
              <w:t xml:space="preserve">(6)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agrees that, if the payment for the goods under this Project is made by the foreign trade agency to a party other than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be obligated to compel such other party to assume the same responsibility for refunding the goods payment as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’s refund obligation stipulated in this Project. Furthermore, the </w:t>
            </w:r>
            <w:r>
              <w:rPr>
                <w:rFonts w:hint="default" w:ascii="Times New Roman" w:hAnsi="Times New Roman" w:eastAsia="宋体" w:cs="Times New Roman"/>
                <w:color w:val="FF0000"/>
                <w:sz w:val="22"/>
                <w:highlight w:val="none"/>
                <w:lang w:val="en-GB" w:eastAsia="zh-CN"/>
              </w:rPr>
              <w:t>bid winner</w:t>
            </w:r>
            <w:r>
              <w:rPr>
                <w:rFonts w:hint="default" w:ascii="Times New Roman" w:hAnsi="Times New Roman" w:eastAsia="宋体" w:cs="Times New Roman"/>
                <w:color w:val="FF0000"/>
                <w:sz w:val="22"/>
                <w:highlight w:val="none"/>
                <w:lang w:val="en-GB"/>
              </w:rPr>
              <w:t xml:space="preserve"> shall bear joint and several liability for the refund obligation of such other party.</w:t>
            </w:r>
          </w:p>
        </w:tc>
        <w:tc>
          <w:tcPr>
            <w:tcW w:w="0" w:type="auto"/>
            <w:noWrap w:val="0"/>
            <w:vAlign w:val="top"/>
          </w:tcPr>
          <w:p w14:paraId="5D74125B">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14FE4010">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53C8CFDE">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r>
      <w:tr w14:paraId="5494A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0" w:type="auto"/>
            <w:noWrap w:val="0"/>
            <w:vAlign w:val="center"/>
          </w:tcPr>
          <w:p w14:paraId="754F68C8">
            <w:pPr>
              <w:keepNext w:val="0"/>
              <w:keepLines w:val="0"/>
              <w:widowControl/>
              <w:suppressLineNumbers w:val="0"/>
              <w:spacing w:before="0" w:beforeAutospacing="0" w:after="0" w:afterAutospacing="0" w:line="440" w:lineRule="exact"/>
              <w:ind w:left="0" w:right="0"/>
              <w:jc w:val="center"/>
              <w:rPr>
                <w:rFonts w:hint="default" w:ascii="Times New Roman" w:hAnsi="Times New Roman" w:eastAsia="宋体" w:cs="Times New Roman"/>
                <w:b w:val="0"/>
                <w:bCs w:val="0"/>
                <w:color w:val="auto"/>
                <w:kern w:val="2"/>
                <w:sz w:val="22"/>
                <w:szCs w:val="22"/>
                <w:lang w:val="en-US" w:eastAsia="zh-CN" w:bidi="ar-SA"/>
              </w:rPr>
            </w:pPr>
            <w:r>
              <w:rPr>
                <w:rFonts w:hint="default" w:ascii="Times New Roman" w:hAnsi="Times New Roman" w:eastAsia="宋体" w:cs="Times New Roman"/>
                <w:b w:val="0"/>
                <w:bCs w:val="0"/>
                <w:color w:val="auto"/>
                <w:kern w:val="2"/>
                <w:sz w:val="22"/>
                <w:szCs w:val="22"/>
                <w:lang w:val="en-US" w:eastAsia="zh-CN" w:bidi="ar-SA"/>
              </w:rPr>
              <w:t>9</w:t>
            </w:r>
          </w:p>
        </w:tc>
        <w:tc>
          <w:tcPr>
            <w:tcW w:w="0" w:type="auto"/>
            <w:noWrap w:val="0"/>
            <w:vAlign w:val="center"/>
          </w:tcPr>
          <w:p w14:paraId="5164C5BA">
            <w:pPr>
              <w:keepNext w:val="0"/>
              <w:keepLines w:val="0"/>
              <w:widowControl/>
              <w:suppressLineNumbers w:val="0"/>
              <w:spacing w:before="0" w:beforeAutospacing="0" w:after="0" w:afterAutospacing="0" w:line="440" w:lineRule="exact"/>
              <w:ind w:left="0" w:leftChars="0" w:right="0" w:rightChars="0" w:firstLine="420" w:firstLineChars="200"/>
              <w:jc w:val="both"/>
              <w:rPr>
                <w:rFonts w:hint="default" w:ascii="Times New Roman" w:hAnsi="Times New Roman" w:eastAsia="宋体" w:cs="Times New Roman"/>
                <w:b/>
                <w:bCs/>
                <w:color w:val="FF0000"/>
                <w:kern w:val="2"/>
                <w:sz w:val="22"/>
                <w:szCs w:val="22"/>
                <w:lang w:val="en-US" w:eastAsia="zh-CN" w:bidi="ar-SA"/>
              </w:rPr>
            </w:pPr>
            <w:r>
              <w:rPr>
                <w:rFonts w:hint="default" w:ascii="Times New Roman" w:hAnsi="Times New Roman" w:eastAsia="宋体" w:cs="Times New Roman"/>
                <w:color w:val="FF0000"/>
                <w:sz w:val="21"/>
                <w:szCs w:val="21"/>
                <w:highlight w:val="none"/>
              </w:rPr>
              <w:t>*Other requirements</w:t>
            </w:r>
          </w:p>
        </w:tc>
        <w:tc>
          <w:tcPr>
            <w:tcW w:w="0" w:type="auto"/>
            <w:noWrap w:val="0"/>
            <w:vAlign w:val="top"/>
          </w:tcPr>
          <w:p w14:paraId="3784C5CD">
            <w:pPr>
              <w:keepNext w:val="0"/>
              <w:keepLines w:val="0"/>
              <w:widowControl/>
              <w:suppressLineNumbers w:val="0"/>
              <w:spacing w:before="0" w:beforeAutospacing="0" w:after="0" w:afterAutospacing="0" w:line="440" w:lineRule="exact"/>
              <w:ind w:left="0" w:leftChars="0" w:right="0" w:rightChars="0" w:firstLine="0" w:firstLineChars="0"/>
              <w:jc w:val="both"/>
              <w:rPr>
                <w:rFonts w:hint="default" w:ascii="Times New Roman" w:hAnsi="Times New Roman" w:eastAsia="宋体" w:cs="Times New Roman"/>
                <w:b/>
                <w:bCs/>
                <w:color w:val="FF0000"/>
                <w:kern w:val="2"/>
                <w:sz w:val="22"/>
                <w:szCs w:val="22"/>
                <w:lang w:val="en-GB" w:eastAsia="zh-CN" w:bidi="ar-SA"/>
              </w:rPr>
            </w:pPr>
            <w:r>
              <w:rPr>
                <w:rFonts w:hint="default" w:ascii="Times New Roman" w:hAnsi="Times New Roman" w:eastAsia="宋体" w:cs="Times New Roman"/>
                <w:color w:val="FF0000"/>
                <w:sz w:val="21"/>
                <w:szCs w:val="21"/>
                <w:highlight w:val="none"/>
              </w:rPr>
              <w:t xml:space="preserve">The bidder shall commit that its technical response is true. After the bid winning result is generated, the </w:t>
            </w:r>
            <w:r>
              <w:rPr>
                <w:rFonts w:hint="default" w:ascii="Times New Roman" w:hAnsi="Times New Roman" w:eastAsia="宋体" w:cs="Times New Roman"/>
                <w:color w:val="FF0000"/>
                <w:sz w:val="21"/>
                <w:szCs w:val="21"/>
                <w:highlight w:val="none"/>
                <w:lang w:eastAsia="zh-CN"/>
              </w:rPr>
              <w:t>tenderee</w:t>
            </w:r>
            <w:r>
              <w:rPr>
                <w:rFonts w:hint="default" w:ascii="Times New Roman" w:hAnsi="Times New Roman" w:eastAsia="宋体" w:cs="Times New Roman"/>
                <w:color w:val="FF0000"/>
                <w:sz w:val="21"/>
                <w:szCs w:val="21"/>
                <w:highlight w:val="none"/>
              </w:rPr>
              <w:t xml:space="preserve"> has the right to request the </w:t>
            </w:r>
            <w:r>
              <w:rPr>
                <w:rFonts w:hint="default" w:ascii="Times New Roman" w:hAnsi="Times New Roman" w:eastAsia="宋体" w:cs="Times New Roman"/>
                <w:color w:val="FF0000"/>
                <w:sz w:val="21"/>
                <w:szCs w:val="21"/>
                <w:highlight w:val="none"/>
                <w:lang w:eastAsia="zh-CN"/>
              </w:rPr>
              <w:t>bid winner</w:t>
            </w:r>
            <w:r>
              <w:rPr>
                <w:rFonts w:hint="default" w:ascii="Times New Roman" w:hAnsi="Times New Roman" w:eastAsia="宋体" w:cs="Times New Roman"/>
                <w:color w:val="FF0000"/>
                <w:sz w:val="21"/>
                <w:szCs w:val="21"/>
                <w:highlight w:val="none"/>
              </w:rPr>
              <w:t xml:space="preserve"> to provide samples of the bid products for testing. If the test result of the equipment submitted by the </w:t>
            </w:r>
            <w:r>
              <w:rPr>
                <w:rFonts w:hint="default" w:ascii="Times New Roman" w:hAnsi="Times New Roman" w:eastAsia="宋体" w:cs="Times New Roman"/>
                <w:color w:val="FF0000"/>
                <w:sz w:val="21"/>
                <w:szCs w:val="21"/>
                <w:highlight w:val="none"/>
                <w:lang w:eastAsia="zh-CN"/>
              </w:rPr>
              <w:t>bid winner</w:t>
            </w:r>
            <w:r>
              <w:rPr>
                <w:rFonts w:hint="default" w:ascii="Times New Roman" w:hAnsi="Times New Roman" w:eastAsia="宋体" w:cs="Times New Roman"/>
                <w:color w:val="FF0000"/>
                <w:sz w:val="21"/>
                <w:szCs w:val="21"/>
                <w:highlight w:val="none"/>
              </w:rPr>
              <w:t xml:space="preserve"> is inconsistent with the response in the </w:t>
            </w:r>
            <w:r>
              <w:rPr>
                <w:rFonts w:hint="default" w:ascii="Times New Roman" w:hAnsi="Times New Roman" w:eastAsia="宋体" w:cs="Times New Roman"/>
                <w:color w:val="FF0000"/>
                <w:sz w:val="21"/>
                <w:szCs w:val="21"/>
                <w:highlight w:val="none"/>
                <w:lang w:eastAsia="zh-CN"/>
              </w:rPr>
              <w:t>bid winner</w:t>
            </w:r>
            <w:r>
              <w:rPr>
                <w:rFonts w:hint="default" w:ascii="Times New Roman" w:hAnsi="Times New Roman" w:eastAsia="宋体" w:cs="Times New Roman"/>
                <w:color w:val="FF0000"/>
                <w:sz w:val="21"/>
                <w:szCs w:val="21"/>
                <w:highlight w:val="none"/>
              </w:rPr>
              <w:t xml:space="preserve">’s bid document, the </w:t>
            </w:r>
            <w:r>
              <w:rPr>
                <w:rFonts w:hint="default" w:ascii="Times New Roman" w:hAnsi="Times New Roman" w:eastAsia="宋体" w:cs="Times New Roman"/>
                <w:color w:val="FF0000"/>
                <w:sz w:val="21"/>
                <w:szCs w:val="21"/>
                <w:highlight w:val="none"/>
                <w:lang w:eastAsia="zh-CN"/>
              </w:rPr>
              <w:t>tenderee</w:t>
            </w:r>
            <w:r>
              <w:rPr>
                <w:rFonts w:hint="default" w:ascii="Times New Roman" w:hAnsi="Times New Roman" w:eastAsia="宋体" w:cs="Times New Roman"/>
                <w:color w:val="FF0000"/>
                <w:sz w:val="21"/>
                <w:szCs w:val="21"/>
                <w:highlight w:val="none"/>
              </w:rPr>
              <w:t xml:space="preserve"> shall refer the matter to the relevant competent authorities for handling and punishment of the </w:t>
            </w:r>
            <w:r>
              <w:rPr>
                <w:rFonts w:hint="default" w:ascii="Times New Roman" w:hAnsi="Times New Roman" w:eastAsia="宋体" w:cs="Times New Roman"/>
                <w:color w:val="FF0000"/>
                <w:sz w:val="21"/>
                <w:szCs w:val="21"/>
                <w:highlight w:val="none"/>
                <w:lang w:eastAsia="zh-CN"/>
              </w:rPr>
              <w:t>bid winner</w:t>
            </w:r>
            <w:r>
              <w:rPr>
                <w:rFonts w:hint="default" w:ascii="Times New Roman" w:hAnsi="Times New Roman" w:eastAsia="宋体" w:cs="Times New Roman"/>
                <w:color w:val="FF0000"/>
                <w:sz w:val="21"/>
                <w:szCs w:val="21"/>
                <w:highlight w:val="none"/>
              </w:rPr>
              <w:t>’s false response, and investigate the corresponding liability. The bid</w:t>
            </w:r>
            <w:r>
              <w:rPr>
                <w:rFonts w:hint="default" w:ascii="Times New Roman" w:hAnsi="Times New Roman" w:eastAsia="宋体" w:cs="Times New Roman"/>
                <w:color w:val="FF0000"/>
                <w:sz w:val="21"/>
                <w:szCs w:val="21"/>
                <w:highlight w:val="none"/>
                <w:lang w:val="en-US" w:eastAsia="zh-CN"/>
              </w:rPr>
              <w:t xml:space="preserve"> winn</w:t>
            </w:r>
            <w:r>
              <w:rPr>
                <w:rFonts w:hint="default" w:ascii="Times New Roman" w:hAnsi="Times New Roman" w:eastAsia="宋体" w:cs="Times New Roman"/>
                <w:color w:val="FF0000"/>
                <w:sz w:val="21"/>
                <w:szCs w:val="21"/>
                <w:highlight w:val="none"/>
              </w:rPr>
              <w:t xml:space="preserve">er shall bear the resulting testing fees and the loss of construction period delay costs. </w:t>
            </w:r>
            <w:r>
              <w:rPr>
                <w:rFonts w:hint="default" w:ascii="Times New Roman" w:hAnsi="Times New Roman" w:eastAsia="宋体" w:cs="Times New Roman"/>
                <w:color w:val="FF0000"/>
                <w:sz w:val="21"/>
                <w:szCs w:val="21"/>
                <w:highlight w:val="yellow"/>
              </w:rPr>
              <w:t xml:space="preserve">(A commitment letter </w:t>
            </w:r>
            <w:r>
              <w:rPr>
                <w:rFonts w:hint="default" w:ascii="Times New Roman" w:hAnsi="Times New Roman" w:eastAsia="宋体" w:cs="Times New Roman"/>
                <w:color w:val="FF0000"/>
                <w:sz w:val="21"/>
                <w:szCs w:val="21"/>
                <w:highlight w:val="yellow"/>
                <w:lang w:val="en-US" w:eastAsia="zh-CN"/>
              </w:rPr>
              <w:t xml:space="preserve">of customized format </w:t>
            </w:r>
            <w:r>
              <w:rPr>
                <w:rFonts w:hint="default" w:ascii="Times New Roman" w:hAnsi="Times New Roman" w:eastAsia="宋体" w:cs="Times New Roman"/>
                <w:color w:val="FF0000"/>
                <w:sz w:val="21"/>
                <w:szCs w:val="21"/>
                <w:highlight w:val="yellow"/>
              </w:rPr>
              <w:t>shall be provided.)</w:t>
            </w:r>
          </w:p>
        </w:tc>
        <w:tc>
          <w:tcPr>
            <w:tcW w:w="0" w:type="auto"/>
            <w:noWrap w:val="0"/>
            <w:vAlign w:val="top"/>
          </w:tcPr>
          <w:p w14:paraId="5CAEC1C6">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74A8B1E2">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c>
          <w:tcPr>
            <w:tcW w:w="0" w:type="auto"/>
            <w:noWrap w:val="0"/>
            <w:vAlign w:val="top"/>
          </w:tcPr>
          <w:p w14:paraId="6421258E">
            <w:pPr>
              <w:keepNext w:val="0"/>
              <w:keepLines w:val="0"/>
              <w:widowControl/>
              <w:suppressLineNumbers w:val="0"/>
              <w:spacing w:before="0" w:beforeAutospacing="0" w:after="0" w:afterAutospacing="0" w:line="440" w:lineRule="exact"/>
              <w:ind w:left="0" w:right="0" w:firstLine="0" w:firstLineChars="0"/>
              <w:jc w:val="left"/>
              <w:rPr>
                <w:rFonts w:hint="default" w:ascii="Times New Roman" w:hAnsi="Times New Roman" w:eastAsia="宋体" w:cs="Times New Roman"/>
                <w:b w:val="0"/>
                <w:bCs w:val="0"/>
                <w:color w:val="auto"/>
                <w:kern w:val="2"/>
                <w:sz w:val="22"/>
                <w:szCs w:val="22"/>
                <w:lang w:val="en-GB" w:eastAsia="zh-CN" w:bidi="ar-SA"/>
              </w:rPr>
            </w:pPr>
          </w:p>
        </w:tc>
      </w:tr>
    </w:tbl>
    <w:p w14:paraId="0CB4803E">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rPr>
      </w:pPr>
    </w:p>
    <w:p w14:paraId="55DC9FDD">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u w:val="single"/>
        </w:rPr>
      </w:pPr>
      <w:r>
        <w:rPr>
          <w:rFonts w:ascii="Times New Roman" w:hAnsi="Times New Roman" w:cs="Times New Roman"/>
          <w:snapToGrid w:val="0"/>
        </w:rPr>
        <w:t xml:space="preserve">Signature of bidder's representative: </w:t>
      </w:r>
      <w:r>
        <w:rPr>
          <w:rFonts w:ascii="Times New Roman" w:hAnsi="Times New Roman" w:cs="Times New Roman"/>
          <w:snapToGrid w:val="0"/>
          <w:u w:val="single"/>
        </w:rPr>
        <w:t xml:space="preserve">                            </w:t>
      </w:r>
    </w:p>
    <w:p w14:paraId="024CADDF">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snapToGrid w:val="0"/>
          <w:u w:val="single"/>
        </w:rPr>
      </w:pPr>
    </w:p>
    <w:p w14:paraId="3C2F4D51">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b/>
          <w:bCs/>
          <w:snapToGrid w:val="0"/>
          <w:sz w:val="24"/>
          <w:szCs w:val="24"/>
          <w:highlight w:val="none"/>
        </w:rPr>
      </w:pPr>
      <w:r>
        <w:rPr>
          <w:rFonts w:ascii="Times New Roman" w:hAnsi="Times New Roman" w:cs="Times New Roman"/>
          <w:b/>
          <w:bCs/>
          <w:snapToGrid w:val="0"/>
          <w:sz w:val="24"/>
          <w:szCs w:val="24"/>
          <w:highlight w:val="none"/>
        </w:rPr>
        <w:t>Note:</w:t>
      </w:r>
    </w:p>
    <w:p w14:paraId="4CFC5276">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snapToGrid w:val="0"/>
          <w:sz w:val="24"/>
          <w:szCs w:val="24"/>
          <w:highlight w:val="none"/>
        </w:rPr>
      </w:pPr>
      <w:r>
        <w:rPr>
          <w:rFonts w:ascii="Times New Roman" w:hAnsi="Times New Roman" w:cs="Times New Roman"/>
          <w:b/>
          <w:bCs/>
          <w:snapToGrid w:val="0"/>
          <w:sz w:val="24"/>
          <w:szCs w:val="24"/>
          <w:highlight w:val="none"/>
        </w:rPr>
        <w:t>The bidder shall, with reference to the commercial clauses and requirements of the bidding document, state item by item that it has made a substantial response to the commercial clauses of the bidding document, and clarify any deviations and exceptions from the commercial clauses.</w:t>
      </w:r>
    </w:p>
    <w:p w14:paraId="617F48EB">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sz w:val="24"/>
          <w:szCs w:val="24"/>
          <w:highlight w:val="none"/>
        </w:rPr>
      </w:pPr>
    </w:p>
    <w:p w14:paraId="5F34D33A">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sz w:val="24"/>
          <w:szCs w:val="24"/>
        </w:rPr>
      </w:pPr>
    </w:p>
    <w:p w14:paraId="0A313FC9">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sz w:val="24"/>
          <w:szCs w:val="24"/>
        </w:rPr>
      </w:pPr>
    </w:p>
    <w:p w14:paraId="0F4EDB4F">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604ADBDD">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30A7279F">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5A0CE74D">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4D4E17D6">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0A6A9290">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05477DA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2E7FD5AC">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154F3072">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213E6BEB">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50D1B479">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71072005">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23DEE046">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25D29F76">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78C5555F">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b/>
          <w:bCs/>
        </w:rPr>
      </w:pPr>
    </w:p>
    <w:p w14:paraId="2D55BAF4">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4"/>
        </w:rPr>
      </w:pPr>
      <w:r>
        <w:rPr>
          <w:rFonts w:ascii="Times New Roman" w:hAnsi="Times New Roman" w:cs="Times New Roman"/>
          <w:b/>
          <w:bCs/>
        </w:rPr>
        <w:t>Format IV-10. Statement Letter</w:t>
      </w:r>
    </w:p>
    <w:p w14:paraId="10561ADC">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p>
    <w:p w14:paraId="23DB1464">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p>
    <w:p w14:paraId="277CF465">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To: Shenzhen Donghai International Tendering Co., Ltd.</w:t>
      </w:r>
    </w:p>
    <w:p w14:paraId="496A29A6">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1. We have no major illegal records in business activities in the three years prior to participating in the bidding of this project.</w:t>
      </w:r>
    </w:p>
    <w:p w14:paraId="3F076E32">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2. Our organization is not subject to any prohibition from participating in government procurement activities imposed by the relevant authorities that remains in effect as of the date of this declaration.</w:t>
      </w:r>
    </w:p>
    <w:p w14:paraId="53DD71FC">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3. Our organization meets the six conditions stipulated in Paragraph 1, Article 22 of</w:t>
      </w:r>
      <w:r>
        <w:rPr>
          <w:rFonts w:ascii="Times New Roman" w:hAnsi="Times New Roman" w:cs="Times New Roman"/>
          <w:i/>
          <w:iCs/>
        </w:rPr>
        <w:t xml:space="preserve"> The Government Procurement Law of the People's Republic of China</w:t>
      </w:r>
      <w:r>
        <w:rPr>
          <w:rFonts w:ascii="Times New Roman" w:hAnsi="Times New Roman" w:cs="Times New Roman"/>
        </w:rPr>
        <w:t>.</w:t>
      </w:r>
    </w:p>
    <w:p w14:paraId="727EC55D">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4. Our organization has not been listed on the List of Dishonest Subject to Enforcement, the List of Parties to Major Tax Illegal Cases, or the Record List of Serious Illegal and Untrustworthy Behaviors in Government Procurement.</w:t>
      </w:r>
    </w:p>
    <w:p w14:paraId="051584FA">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We hereby declared.</w:t>
      </w:r>
    </w:p>
    <w:p w14:paraId="05A43D0D">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 xml:space="preserve">                               </w:t>
      </w:r>
    </w:p>
    <w:p w14:paraId="3F281AD7">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 xml:space="preserve">Name of bidder:                                </w:t>
      </w:r>
    </w:p>
    <w:p w14:paraId="013D12CA">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Signature of bidder's representative:</w:t>
      </w:r>
      <w:r>
        <w:rPr>
          <w:rFonts w:ascii="Times New Roman" w:hAnsi="Times New Roman" w:cs="Times New Roman"/>
          <w:u w:val="single"/>
        </w:rPr>
        <w:t xml:space="preserve">                            </w:t>
      </w:r>
      <w:r>
        <w:rPr>
          <w:rFonts w:ascii="Times New Roman" w:hAnsi="Times New Roman" w:cs="Times New Roman"/>
        </w:rPr>
        <w:t xml:space="preserve"> </w:t>
      </w:r>
    </w:p>
    <w:p w14:paraId="618F2A88">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Date:</w:t>
      </w:r>
      <w:r>
        <w:rPr>
          <w:rFonts w:ascii="Times New Roman" w:hAnsi="Times New Roman" w:cs="Times New Roman"/>
          <w:u w:val="single"/>
        </w:rPr>
        <w:t xml:space="preserve">      </w:t>
      </w:r>
      <w:r>
        <w:rPr>
          <w:rFonts w:ascii="Times New Roman" w:hAnsi="Times New Roman" w:cs="Times New Roman"/>
        </w:rPr>
        <w:t>______DD/MM/YY</w:t>
      </w:r>
    </w:p>
    <w:p w14:paraId="5CCB8334">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p>
    <w:p w14:paraId="78143022">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p>
    <w:p w14:paraId="2D3614BB">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szCs w:val="21"/>
        </w:rPr>
      </w:pPr>
      <w:r>
        <w:rPr>
          <w:rFonts w:ascii="Times New Roman" w:hAnsi="Times New Roman" w:cs="Times New Roman"/>
        </w:rPr>
        <w:t>Note: The domestic supplier must fill in the form of the above Statement Letter, otherwise the bid will be invalid.</w:t>
      </w:r>
    </w:p>
    <w:bookmarkEnd w:id="26"/>
    <w:p w14:paraId="5CA81A3E">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r>
        <w:rPr>
          <w:rFonts w:ascii="Times New Roman" w:hAnsi="Times New Roman" w:cs="Times New Roman"/>
        </w:rPr>
        <w:br w:type="page"/>
      </w:r>
    </w:p>
    <w:p w14:paraId="7BC489A6">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eastAsia="宋体" w:cs="Times New Roman"/>
          <w:b/>
          <w:bCs/>
          <w:szCs w:val="24"/>
        </w:rPr>
      </w:pPr>
      <w:r>
        <w:rPr>
          <w:rFonts w:ascii="Times New Roman" w:hAnsi="Times New Roman" w:cs="Times New Roman"/>
          <w:b/>
          <w:bCs/>
        </w:rPr>
        <w:t>Form IV-11: Format of Bidder's Similar Performance Experience</w:t>
      </w:r>
    </w:p>
    <w:p w14:paraId="200552B4">
      <w:pPr>
        <w:keepNext w:val="0"/>
        <w:keepLines w:val="0"/>
        <w:pageBreakBefore w:val="0"/>
        <w:kinsoku/>
        <w:wordWrap/>
        <w:overflowPunct/>
        <w:topLinePunct w:val="0"/>
        <w:bidi w:val="0"/>
        <w:snapToGrid/>
        <w:spacing w:beforeAutospacing="0" w:afterAutospacing="0" w:line="240" w:lineRule="auto"/>
        <w:jc w:val="center"/>
        <w:textAlignment w:val="auto"/>
        <w:rPr>
          <w:rFonts w:ascii="Times New Roman" w:hAnsi="Times New Roman" w:eastAsia="宋体" w:cs="Times New Roman"/>
          <w:b/>
          <w:bCs/>
          <w:color w:val="FF0000"/>
          <w:szCs w:val="21"/>
        </w:rPr>
      </w:pPr>
      <w:r>
        <w:rPr>
          <w:rFonts w:ascii="Times New Roman" w:hAnsi="Times New Roman" w:cs="Times New Roman"/>
          <w:b/>
          <w:bCs/>
        </w:rPr>
        <w:t>Performance statement</w:t>
      </w:r>
    </w:p>
    <w:tbl>
      <w:tblPr>
        <w:tblStyle w:val="15"/>
        <w:tblW w:w="4998" w:type="pct"/>
        <w:tblInd w:w="0" w:type="dxa"/>
        <w:tblLayout w:type="autofit"/>
        <w:tblCellMar>
          <w:top w:w="0" w:type="dxa"/>
          <w:left w:w="30" w:type="dxa"/>
          <w:bottom w:w="0" w:type="dxa"/>
          <w:right w:w="30" w:type="dxa"/>
        </w:tblCellMar>
      </w:tblPr>
      <w:tblGrid>
        <w:gridCol w:w="702"/>
        <w:gridCol w:w="1575"/>
        <w:gridCol w:w="1228"/>
        <w:gridCol w:w="1255"/>
        <w:gridCol w:w="1094"/>
        <w:gridCol w:w="1281"/>
        <w:gridCol w:w="1228"/>
      </w:tblGrid>
      <w:tr w14:paraId="081A3B4E">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54243F9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Serial number</w:t>
            </w:r>
          </w:p>
        </w:tc>
        <w:tc>
          <w:tcPr>
            <w:tcW w:w="961" w:type="pct"/>
            <w:tcBorders>
              <w:top w:val="single" w:color="auto" w:sz="6" w:space="0"/>
              <w:left w:val="single" w:color="auto" w:sz="6" w:space="0"/>
              <w:bottom w:val="single" w:color="auto" w:sz="6" w:space="0"/>
              <w:right w:val="single" w:color="auto" w:sz="6" w:space="0"/>
            </w:tcBorders>
            <w:vAlign w:val="center"/>
          </w:tcPr>
          <w:p w14:paraId="6C76E48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User name</w:t>
            </w:r>
          </w:p>
        </w:tc>
        <w:tc>
          <w:tcPr>
            <w:tcW w:w="753" w:type="pct"/>
            <w:tcBorders>
              <w:top w:val="single" w:color="auto" w:sz="6" w:space="0"/>
              <w:left w:val="single" w:color="auto" w:sz="6" w:space="0"/>
              <w:bottom w:val="single" w:color="auto" w:sz="6" w:space="0"/>
              <w:right w:val="single" w:color="auto" w:sz="6" w:space="0"/>
            </w:tcBorders>
            <w:vAlign w:val="center"/>
          </w:tcPr>
          <w:p w14:paraId="463587E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Date of contract signing</w:t>
            </w:r>
          </w:p>
        </w:tc>
        <w:tc>
          <w:tcPr>
            <w:tcW w:w="769" w:type="pct"/>
            <w:tcBorders>
              <w:top w:val="single" w:color="auto" w:sz="6" w:space="0"/>
              <w:left w:val="single" w:color="auto" w:sz="6" w:space="0"/>
              <w:bottom w:val="single" w:color="auto" w:sz="6" w:space="0"/>
              <w:right w:val="single" w:color="auto" w:sz="6" w:space="0"/>
            </w:tcBorders>
            <w:vAlign w:val="center"/>
          </w:tcPr>
          <w:p w14:paraId="1AA016F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Time of acceptance</w:t>
            </w:r>
          </w:p>
        </w:tc>
        <w:tc>
          <w:tcPr>
            <w:tcW w:w="673" w:type="pct"/>
            <w:tcBorders>
              <w:top w:val="single" w:color="auto" w:sz="6" w:space="0"/>
              <w:left w:val="single" w:color="auto" w:sz="6" w:space="0"/>
              <w:bottom w:val="single" w:color="auto" w:sz="6" w:space="0"/>
              <w:right w:val="single" w:color="auto" w:sz="6" w:space="0"/>
            </w:tcBorders>
            <w:vAlign w:val="center"/>
          </w:tcPr>
          <w:p w14:paraId="7267C10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Quality</w:t>
            </w:r>
          </w:p>
        </w:tc>
        <w:tc>
          <w:tcPr>
            <w:tcW w:w="785" w:type="pct"/>
            <w:tcBorders>
              <w:top w:val="single" w:color="auto" w:sz="6" w:space="0"/>
              <w:left w:val="single" w:color="auto" w:sz="6" w:space="0"/>
              <w:bottom w:val="single" w:color="auto" w:sz="6" w:space="0"/>
              <w:right w:val="single" w:color="auto" w:sz="6" w:space="0"/>
            </w:tcBorders>
            <w:vAlign w:val="center"/>
          </w:tcPr>
          <w:p w14:paraId="1F3630C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Equipment specification / model</w:t>
            </w:r>
          </w:p>
        </w:tc>
        <w:tc>
          <w:tcPr>
            <w:tcW w:w="753" w:type="pct"/>
            <w:tcBorders>
              <w:top w:val="single" w:color="auto" w:sz="6" w:space="0"/>
              <w:left w:val="single" w:color="auto" w:sz="6" w:space="0"/>
              <w:bottom w:val="single" w:color="auto" w:sz="6" w:space="0"/>
              <w:right w:val="single" w:color="auto" w:sz="6" w:space="0"/>
            </w:tcBorders>
            <w:vAlign w:val="center"/>
          </w:tcPr>
          <w:p w14:paraId="6582E51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szCs w:val="21"/>
              </w:rPr>
            </w:pPr>
            <w:r>
              <w:rPr>
                <w:rFonts w:hint="default" w:ascii="Times New Roman" w:hAnsi="Times New Roman" w:cs="Times New Roman"/>
              </w:rPr>
              <w:t>User's contact information</w:t>
            </w:r>
          </w:p>
        </w:tc>
      </w:tr>
      <w:tr w14:paraId="47994571">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301A4FD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961" w:type="pct"/>
            <w:tcBorders>
              <w:top w:val="single" w:color="auto" w:sz="6" w:space="0"/>
              <w:left w:val="single" w:color="auto" w:sz="6" w:space="0"/>
              <w:bottom w:val="single" w:color="auto" w:sz="6" w:space="0"/>
              <w:right w:val="single" w:color="auto" w:sz="6" w:space="0"/>
            </w:tcBorders>
            <w:vAlign w:val="center"/>
          </w:tcPr>
          <w:p w14:paraId="3D6842F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tcPr>
          <w:p w14:paraId="17C41ED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69" w:type="pct"/>
            <w:tcBorders>
              <w:top w:val="single" w:color="auto" w:sz="6" w:space="0"/>
              <w:left w:val="single" w:color="auto" w:sz="6" w:space="0"/>
              <w:bottom w:val="single" w:color="auto" w:sz="6" w:space="0"/>
              <w:right w:val="single" w:color="auto" w:sz="6" w:space="0"/>
            </w:tcBorders>
            <w:vAlign w:val="center"/>
          </w:tcPr>
          <w:p w14:paraId="5CF953C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673" w:type="pct"/>
            <w:tcBorders>
              <w:top w:val="single" w:color="auto" w:sz="6" w:space="0"/>
              <w:left w:val="single" w:color="auto" w:sz="6" w:space="0"/>
              <w:bottom w:val="single" w:color="auto" w:sz="6" w:space="0"/>
              <w:right w:val="single" w:color="auto" w:sz="6" w:space="0"/>
            </w:tcBorders>
          </w:tcPr>
          <w:p w14:paraId="7333F80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85" w:type="pct"/>
            <w:tcBorders>
              <w:top w:val="single" w:color="auto" w:sz="6" w:space="0"/>
              <w:left w:val="single" w:color="auto" w:sz="6" w:space="0"/>
              <w:bottom w:val="single" w:color="auto" w:sz="6" w:space="0"/>
              <w:right w:val="single" w:color="auto" w:sz="6" w:space="0"/>
            </w:tcBorders>
            <w:vAlign w:val="center"/>
          </w:tcPr>
          <w:p w14:paraId="283B816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vAlign w:val="center"/>
          </w:tcPr>
          <w:p w14:paraId="59DF3F8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r>
      <w:tr w14:paraId="074D5CCC">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12FFC71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961" w:type="pct"/>
            <w:tcBorders>
              <w:top w:val="single" w:color="auto" w:sz="6" w:space="0"/>
              <w:left w:val="single" w:color="auto" w:sz="6" w:space="0"/>
              <w:bottom w:val="single" w:color="auto" w:sz="6" w:space="0"/>
              <w:right w:val="single" w:color="auto" w:sz="6" w:space="0"/>
            </w:tcBorders>
            <w:vAlign w:val="center"/>
          </w:tcPr>
          <w:p w14:paraId="5D7807A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tcPr>
          <w:p w14:paraId="33C71C7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69" w:type="pct"/>
            <w:tcBorders>
              <w:top w:val="single" w:color="auto" w:sz="6" w:space="0"/>
              <w:left w:val="single" w:color="auto" w:sz="6" w:space="0"/>
              <w:bottom w:val="single" w:color="auto" w:sz="6" w:space="0"/>
              <w:right w:val="single" w:color="auto" w:sz="6" w:space="0"/>
            </w:tcBorders>
            <w:vAlign w:val="center"/>
          </w:tcPr>
          <w:p w14:paraId="16F274E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673" w:type="pct"/>
            <w:tcBorders>
              <w:top w:val="single" w:color="auto" w:sz="6" w:space="0"/>
              <w:left w:val="single" w:color="auto" w:sz="6" w:space="0"/>
              <w:bottom w:val="single" w:color="auto" w:sz="6" w:space="0"/>
              <w:right w:val="single" w:color="auto" w:sz="6" w:space="0"/>
            </w:tcBorders>
          </w:tcPr>
          <w:p w14:paraId="12ADDEC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85" w:type="pct"/>
            <w:tcBorders>
              <w:top w:val="single" w:color="auto" w:sz="6" w:space="0"/>
              <w:left w:val="single" w:color="auto" w:sz="6" w:space="0"/>
              <w:bottom w:val="single" w:color="auto" w:sz="6" w:space="0"/>
              <w:right w:val="single" w:color="auto" w:sz="6" w:space="0"/>
            </w:tcBorders>
            <w:vAlign w:val="center"/>
          </w:tcPr>
          <w:p w14:paraId="40B12BD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vAlign w:val="center"/>
          </w:tcPr>
          <w:p w14:paraId="674AB01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r>
      <w:tr w14:paraId="19DE7113">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14E6983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961" w:type="pct"/>
            <w:tcBorders>
              <w:top w:val="single" w:color="auto" w:sz="6" w:space="0"/>
              <w:left w:val="single" w:color="auto" w:sz="6" w:space="0"/>
              <w:bottom w:val="single" w:color="auto" w:sz="6" w:space="0"/>
              <w:right w:val="single" w:color="auto" w:sz="6" w:space="0"/>
            </w:tcBorders>
            <w:vAlign w:val="center"/>
          </w:tcPr>
          <w:p w14:paraId="05D1B3A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tcPr>
          <w:p w14:paraId="2B704D0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69" w:type="pct"/>
            <w:tcBorders>
              <w:top w:val="single" w:color="auto" w:sz="6" w:space="0"/>
              <w:left w:val="single" w:color="auto" w:sz="6" w:space="0"/>
              <w:bottom w:val="single" w:color="auto" w:sz="6" w:space="0"/>
              <w:right w:val="single" w:color="auto" w:sz="6" w:space="0"/>
            </w:tcBorders>
            <w:vAlign w:val="center"/>
          </w:tcPr>
          <w:p w14:paraId="00F00FA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673" w:type="pct"/>
            <w:tcBorders>
              <w:top w:val="single" w:color="auto" w:sz="6" w:space="0"/>
              <w:left w:val="single" w:color="auto" w:sz="6" w:space="0"/>
              <w:bottom w:val="single" w:color="auto" w:sz="6" w:space="0"/>
              <w:right w:val="single" w:color="auto" w:sz="6" w:space="0"/>
            </w:tcBorders>
          </w:tcPr>
          <w:p w14:paraId="3880520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85" w:type="pct"/>
            <w:tcBorders>
              <w:top w:val="single" w:color="auto" w:sz="6" w:space="0"/>
              <w:left w:val="single" w:color="auto" w:sz="6" w:space="0"/>
              <w:bottom w:val="single" w:color="auto" w:sz="6" w:space="0"/>
              <w:right w:val="single" w:color="auto" w:sz="6" w:space="0"/>
            </w:tcBorders>
            <w:vAlign w:val="center"/>
          </w:tcPr>
          <w:p w14:paraId="7C70DD4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vAlign w:val="center"/>
          </w:tcPr>
          <w:p w14:paraId="17010FF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r>
      <w:tr w14:paraId="2FE625F3">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35C0931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961" w:type="pct"/>
            <w:tcBorders>
              <w:top w:val="single" w:color="auto" w:sz="6" w:space="0"/>
              <w:left w:val="single" w:color="auto" w:sz="6" w:space="0"/>
              <w:bottom w:val="single" w:color="auto" w:sz="6" w:space="0"/>
              <w:right w:val="single" w:color="auto" w:sz="6" w:space="0"/>
            </w:tcBorders>
            <w:vAlign w:val="center"/>
          </w:tcPr>
          <w:p w14:paraId="5E9D93B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tcPr>
          <w:p w14:paraId="6177DE51">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69" w:type="pct"/>
            <w:tcBorders>
              <w:top w:val="single" w:color="auto" w:sz="6" w:space="0"/>
              <w:left w:val="single" w:color="auto" w:sz="6" w:space="0"/>
              <w:bottom w:val="single" w:color="auto" w:sz="6" w:space="0"/>
              <w:right w:val="single" w:color="auto" w:sz="6" w:space="0"/>
            </w:tcBorders>
            <w:vAlign w:val="center"/>
          </w:tcPr>
          <w:p w14:paraId="7ED663D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673" w:type="pct"/>
            <w:tcBorders>
              <w:top w:val="single" w:color="auto" w:sz="6" w:space="0"/>
              <w:left w:val="single" w:color="auto" w:sz="6" w:space="0"/>
              <w:bottom w:val="single" w:color="auto" w:sz="6" w:space="0"/>
              <w:right w:val="single" w:color="auto" w:sz="6" w:space="0"/>
            </w:tcBorders>
          </w:tcPr>
          <w:p w14:paraId="6CAB4F8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85" w:type="pct"/>
            <w:tcBorders>
              <w:top w:val="single" w:color="auto" w:sz="6" w:space="0"/>
              <w:left w:val="single" w:color="auto" w:sz="6" w:space="0"/>
              <w:bottom w:val="single" w:color="auto" w:sz="6" w:space="0"/>
              <w:right w:val="single" w:color="auto" w:sz="6" w:space="0"/>
            </w:tcBorders>
            <w:vAlign w:val="center"/>
          </w:tcPr>
          <w:p w14:paraId="261C77C4">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vAlign w:val="center"/>
          </w:tcPr>
          <w:p w14:paraId="727E166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r>
      <w:tr w14:paraId="56DB9F80">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001F0EA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961" w:type="pct"/>
            <w:tcBorders>
              <w:top w:val="single" w:color="auto" w:sz="6" w:space="0"/>
              <w:left w:val="single" w:color="auto" w:sz="6" w:space="0"/>
              <w:bottom w:val="single" w:color="auto" w:sz="6" w:space="0"/>
              <w:right w:val="single" w:color="auto" w:sz="6" w:space="0"/>
            </w:tcBorders>
            <w:vAlign w:val="center"/>
          </w:tcPr>
          <w:p w14:paraId="7EE98D2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tcPr>
          <w:p w14:paraId="6D72F06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69" w:type="pct"/>
            <w:tcBorders>
              <w:top w:val="single" w:color="auto" w:sz="6" w:space="0"/>
              <w:left w:val="single" w:color="auto" w:sz="6" w:space="0"/>
              <w:bottom w:val="single" w:color="auto" w:sz="6" w:space="0"/>
              <w:right w:val="single" w:color="auto" w:sz="6" w:space="0"/>
            </w:tcBorders>
            <w:vAlign w:val="center"/>
          </w:tcPr>
          <w:p w14:paraId="44C2FF3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673" w:type="pct"/>
            <w:tcBorders>
              <w:top w:val="single" w:color="auto" w:sz="6" w:space="0"/>
              <w:left w:val="single" w:color="auto" w:sz="6" w:space="0"/>
              <w:bottom w:val="single" w:color="auto" w:sz="6" w:space="0"/>
              <w:right w:val="single" w:color="auto" w:sz="6" w:space="0"/>
            </w:tcBorders>
          </w:tcPr>
          <w:p w14:paraId="20D2D10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85" w:type="pct"/>
            <w:tcBorders>
              <w:top w:val="single" w:color="auto" w:sz="6" w:space="0"/>
              <w:left w:val="single" w:color="auto" w:sz="6" w:space="0"/>
              <w:bottom w:val="single" w:color="auto" w:sz="6" w:space="0"/>
              <w:right w:val="single" w:color="auto" w:sz="6" w:space="0"/>
            </w:tcBorders>
            <w:vAlign w:val="center"/>
          </w:tcPr>
          <w:p w14:paraId="6BDB89C0">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vAlign w:val="center"/>
          </w:tcPr>
          <w:p w14:paraId="1A52702F">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r>
      <w:tr w14:paraId="28BE6526">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6B15C103">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961" w:type="pct"/>
            <w:tcBorders>
              <w:top w:val="single" w:color="auto" w:sz="6" w:space="0"/>
              <w:left w:val="single" w:color="auto" w:sz="6" w:space="0"/>
              <w:bottom w:val="single" w:color="auto" w:sz="6" w:space="0"/>
              <w:right w:val="single" w:color="auto" w:sz="6" w:space="0"/>
            </w:tcBorders>
            <w:vAlign w:val="center"/>
          </w:tcPr>
          <w:p w14:paraId="627DE1AE">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tcPr>
          <w:p w14:paraId="0A3FC0E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69" w:type="pct"/>
            <w:tcBorders>
              <w:top w:val="single" w:color="auto" w:sz="6" w:space="0"/>
              <w:left w:val="single" w:color="auto" w:sz="6" w:space="0"/>
              <w:bottom w:val="single" w:color="auto" w:sz="6" w:space="0"/>
              <w:right w:val="single" w:color="auto" w:sz="6" w:space="0"/>
            </w:tcBorders>
            <w:vAlign w:val="center"/>
          </w:tcPr>
          <w:p w14:paraId="0BEB95E2">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673" w:type="pct"/>
            <w:tcBorders>
              <w:top w:val="single" w:color="auto" w:sz="6" w:space="0"/>
              <w:left w:val="single" w:color="auto" w:sz="6" w:space="0"/>
              <w:bottom w:val="single" w:color="auto" w:sz="6" w:space="0"/>
              <w:right w:val="single" w:color="auto" w:sz="6" w:space="0"/>
            </w:tcBorders>
          </w:tcPr>
          <w:p w14:paraId="573D645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85" w:type="pct"/>
            <w:tcBorders>
              <w:top w:val="single" w:color="auto" w:sz="6" w:space="0"/>
              <w:left w:val="single" w:color="auto" w:sz="6" w:space="0"/>
              <w:bottom w:val="single" w:color="auto" w:sz="6" w:space="0"/>
              <w:right w:val="single" w:color="auto" w:sz="6" w:space="0"/>
            </w:tcBorders>
            <w:vAlign w:val="center"/>
          </w:tcPr>
          <w:p w14:paraId="07858B77">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vAlign w:val="center"/>
          </w:tcPr>
          <w:p w14:paraId="0941507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r>
      <w:tr w14:paraId="4B3F7945">
        <w:tblPrEx>
          <w:tblCellMar>
            <w:top w:w="0" w:type="dxa"/>
            <w:left w:w="30" w:type="dxa"/>
            <w:bottom w:w="0" w:type="dxa"/>
            <w:right w:w="30" w:type="dxa"/>
          </w:tblCellMar>
        </w:tblPrEx>
        <w:trPr>
          <w:trHeight w:val="0" w:hRule="atLeast"/>
        </w:trPr>
        <w:tc>
          <w:tcPr>
            <w:tcW w:w="304" w:type="pct"/>
            <w:tcBorders>
              <w:top w:val="single" w:color="auto" w:sz="6" w:space="0"/>
              <w:left w:val="single" w:color="auto" w:sz="6" w:space="0"/>
              <w:bottom w:val="single" w:color="auto" w:sz="6" w:space="0"/>
              <w:right w:val="single" w:color="auto" w:sz="6" w:space="0"/>
            </w:tcBorders>
            <w:vAlign w:val="center"/>
          </w:tcPr>
          <w:p w14:paraId="2946431C">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961" w:type="pct"/>
            <w:tcBorders>
              <w:top w:val="single" w:color="auto" w:sz="6" w:space="0"/>
              <w:left w:val="single" w:color="auto" w:sz="6" w:space="0"/>
              <w:bottom w:val="single" w:color="auto" w:sz="6" w:space="0"/>
              <w:right w:val="single" w:color="auto" w:sz="6" w:space="0"/>
            </w:tcBorders>
            <w:vAlign w:val="center"/>
          </w:tcPr>
          <w:p w14:paraId="24D6F278">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tcPr>
          <w:p w14:paraId="53777676">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69" w:type="pct"/>
            <w:tcBorders>
              <w:top w:val="single" w:color="auto" w:sz="6" w:space="0"/>
              <w:left w:val="single" w:color="auto" w:sz="6" w:space="0"/>
              <w:bottom w:val="single" w:color="auto" w:sz="6" w:space="0"/>
              <w:right w:val="single" w:color="auto" w:sz="6" w:space="0"/>
            </w:tcBorders>
            <w:vAlign w:val="center"/>
          </w:tcPr>
          <w:p w14:paraId="280F77FB">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673" w:type="pct"/>
            <w:tcBorders>
              <w:top w:val="single" w:color="auto" w:sz="6" w:space="0"/>
              <w:left w:val="single" w:color="auto" w:sz="6" w:space="0"/>
              <w:bottom w:val="single" w:color="auto" w:sz="6" w:space="0"/>
              <w:right w:val="single" w:color="auto" w:sz="6" w:space="0"/>
            </w:tcBorders>
          </w:tcPr>
          <w:p w14:paraId="714C8519">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85" w:type="pct"/>
            <w:tcBorders>
              <w:top w:val="single" w:color="auto" w:sz="6" w:space="0"/>
              <w:left w:val="single" w:color="auto" w:sz="6" w:space="0"/>
              <w:bottom w:val="single" w:color="auto" w:sz="6" w:space="0"/>
              <w:right w:val="single" w:color="auto" w:sz="6" w:space="0"/>
            </w:tcBorders>
            <w:vAlign w:val="center"/>
          </w:tcPr>
          <w:p w14:paraId="4BC17A6A">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c>
          <w:tcPr>
            <w:tcW w:w="753" w:type="pct"/>
            <w:tcBorders>
              <w:top w:val="single" w:color="auto" w:sz="6" w:space="0"/>
              <w:left w:val="single" w:color="auto" w:sz="6" w:space="0"/>
              <w:bottom w:val="single" w:color="auto" w:sz="6" w:space="0"/>
              <w:right w:val="single" w:color="auto" w:sz="6" w:space="0"/>
            </w:tcBorders>
            <w:vAlign w:val="center"/>
          </w:tcPr>
          <w:p w14:paraId="377C9BD5">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textAlignment w:val="auto"/>
              <w:rPr>
                <w:rFonts w:hint="default" w:ascii="Times New Roman" w:hAnsi="Times New Roman" w:cs="Times New Roman"/>
              </w:rPr>
            </w:pPr>
          </w:p>
        </w:tc>
      </w:tr>
    </w:tbl>
    <w:p w14:paraId="510E5CD3">
      <w:pPr>
        <w:keepNext w:val="0"/>
        <w:keepLines w:val="0"/>
        <w:pageBreakBefore w:val="0"/>
        <w:kinsoku/>
        <w:wordWrap/>
        <w:overflowPunct/>
        <w:topLinePunct w:val="0"/>
        <w:bidi w:val="0"/>
        <w:snapToGrid/>
        <w:spacing w:beforeAutospacing="0" w:afterAutospacing="0" w:line="240" w:lineRule="auto"/>
        <w:textAlignment w:val="auto"/>
        <w:rPr>
          <w:rFonts w:ascii="Times New Roman" w:hAnsi="Times New Roman" w:cs="Times New Roman"/>
          <w:highlight w:val="none"/>
        </w:rPr>
      </w:pPr>
    </w:p>
    <w:p w14:paraId="4470EEB0">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eastAsia="宋体" w:cs="Times New Roman"/>
          <w:b/>
          <w:bCs/>
          <w:szCs w:val="21"/>
          <w:highlight w:val="none"/>
        </w:rPr>
      </w:pPr>
      <w:r>
        <w:rPr>
          <w:rFonts w:ascii="Times New Roman" w:hAnsi="Times New Roman" w:cs="Times New Roman"/>
          <w:b/>
          <w:bCs/>
          <w:highlight w:val="none"/>
        </w:rPr>
        <w:t xml:space="preserve">Note: a) </w:t>
      </w:r>
      <w:r>
        <w:rPr>
          <w:rFonts w:hint="default" w:ascii="Times New Roman" w:hAnsi="Times New Roman" w:cs="Times New Roman"/>
          <w:b/>
          <w:bCs/>
          <w:highlight w:val="none"/>
        </w:rPr>
        <w:t>The key pages of the contract and the corresponding proof materials issued by Party A that the similar products have been officially put into use must be provided (the proof materials that have been officially put into use must be signed by the contact person of Party A and filled in with their contact information);</w:t>
      </w:r>
    </w:p>
    <w:p w14:paraId="1266297F">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highlight w:val="none"/>
        </w:rPr>
      </w:pPr>
    </w:p>
    <w:p w14:paraId="124D2C43">
      <w:pPr>
        <w:keepNext w:val="0"/>
        <w:keepLines w:val="0"/>
        <w:pageBreakBefore w:val="0"/>
        <w:kinsoku/>
        <w:wordWrap/>
        <w:overflowPunct/>
        <w:topLinePunct w:val="0"/>
        <w:bidi w:val="0"/>
        <w:snapToGrid/>
        <w:spacing w:beforeAutospacing="0" w:afterAutospacing="0" w:line="240" w:lineRule="auto"/>
        <w:jc w:val="both"/>
        <w:textAlignment w:val="auto"/>
        <w:rPr>
          <w:rFonts w:ascii="Times New Roman" w:hAnsi="Times New Roman" w:cs="Times New Roma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Neue-Ligh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C9291">
    <w:pPr>
      <w:pStyle w:val="10"/>
      <w:rPr>
        <w:rFonts w:ascii="Times New Roman" w:hAnsi="Times New Roman"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291671">
                          <w:pPr>
                            <w:pStyle w:val="1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291671">
                    <w:pPr>
                      <w:pStyle w:val="1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p w14:paraId="7CE624E9">
    <w:pPr>
      <w:pStyle w:val="10"/>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E448E">
    <w:pPr>
      <w:pStyle w:val="1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EAD49">
    <w:pPr>
      <w:pStyle w:val="1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3FEB6">
    <w:pPr>
      <w:pStyle w:val="11"/>
      <w:rPr>
        <w:rFonts w:eastAsiaTheme="minorEastAsia"/>
      </w:rPr>
    </w:pPr>
    <w:r>
      <w:t>Tender Document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EC986">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3081F">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C862B"/>
    <w:multiLevelType w:val="singleLevel"/>
    <w:tmpl w:val="8CAC862B"/>
    <w:lvl w:ilvl="0" w:tentative="0">
      <w:start w:val="1"/>
      <w:numFmt w:val="decimal"/>
      <w:suff w:val="space"/>
      <w:lvlText w:val="%1."/>
      <w:lvlJc w:val="left"/>
    </w:lvl>
  </w:abstractNum>
  <w:abstractNum w:abstractNumId="1">
    <w:nsid w:val="90CB8D50"/>
    <w:multiLevelType w:val="multilevel"/>
    <w:tmpl w:val="90CB8D50"/>
    <w:lvl w:ilvl="0" w:tentative="0">
      <w:start w:val="1"/>
      <w:numFmt w:val="decimal"/>
      <w:lvlText w:val="%1)"/>
      <w:lvlJc w:val="left"/>
      <w:pPr>
        <w:tabs>
          <w:tab w:val="left" w:pos="425"/>
        </w:tabs>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A64C9C2A"/>
    <w:multiLevelType w:val="singleLevel"/>
    <w:tmpl w:val="A64C9C2A"/>
    <w:lvl w:ilvl="0" w:tentative="0">
      <w:start w:val="5"/>
      <w:numFmt w:val="decimal"/>
      <w:suff w:val="space"/>
      <w:lvlText w:val="%1."/>
      <w:lvlJc w:val="left"/>
    </w:lvl>
  </w:abstractNum>
  <w:abstractNum w:abstractNumId="3">
    <w:nsid w:val="B07B4C4E"/>
    <w:multiLevelType w:val="singleLevel"/>
    <w:tmpl w:val="B07B4C4E"/>
    <w:lvl w:ilvl="0" w:tentative="0">
      <w:start w:val="1"/>
      <w:numFmt w:val="decimal"/>
      <w:suff w:val="space"/>
      <w:lvlText w:val="%1."/>
      <w:lvlJc w:val="left"/>
    </w:lvl>
  </w:abstractNum>
  <w:abstractNum w:abstractNumId="4">
    <w:nsid w:val="C4947F62"/>
    <w:multiLevelType w:val="singleLevel"/>
    <w:tmpl w:val="C4947F62"/>
    <w:lvl w:ilvl="0" w:tentative="0">
      <w:start w:val="1"/>
      <w:numFmt w:val="upperRoman"/>
      <w:suff w:val="space"/>
      <w:lvlText w:val="%1."/>
      <w:lvlJc w:val="left"/>
    </w:lvl>
  </w:abstractNum>
  <w:abstractNum w:abstractNumId="5">
    <w:nsid w:val="EDA2803F"/>
    <w:multiLevelType w:val="singleLevel"/>
    <w:tmpl w:val="EDA2803F"/>
    <w:lvl w:ilvl="0" w:tentative="0">
      <w:start w:val="1"/>
      <w:numFmt w:val="decimal"/>
      <w:suff w:val="space"/>
      <w:lvlText w:val="%1."/>
      <w:lvlJc w:val="left"/>
    </w:lvl>
  </w:abstractNum>
  <w:abstractNum w:abstractNumId="6">
    <w:nsid w:val="F5D006B9"/>
    <w:multiLevelType w:val="singleLevel"/>
    <w:tmpl w:val="F5D006B9"/>
    <w:lvl w:ilvl="0" w:tentative="0">
      <w:start w:val="5"/>
      <w:numFmt w:val="decimal"/>
      <w:suff w:val="space"/>
      <w:lvlText w:val="%1."/>
      <w:lvlJc w:val="left"/>
    </w:lvl>
  </w:abstractNum>
  <w:abstractNum w:abstractNumId="7">
    <w:nsid w:val="4D3A1165"/>
    <w:multiLevelType w:val="singleLevel"/>
    <w:tmpl w:val="4D3A1165"/>
    <w:lvl w:ilvl="0" w:tentative="0">
      <w:start w:val="1"/>
      <w:numFmt w:val="decimal"/>
      <w:suff w:val="space"/>
      <w:lvlText w:val="%1."/>
      <w:lvlJc w:val="left"/>
    </w:lvl>
  </w:abstractNum>
  <w:abstractNum w:abstractNumId="8">
    <w:nsid w:val="51FF0C98"/>
    <w:multiLevelType w:val="singleLevel"/>
    <w:tmpl w:val="51FF0C98"/>
    <w:lvl w:ilvl="0" w:tentative="0">
      <w:start w:val="1"/>
      <w:numFmt w:val="decimal"/>
      <w:suff w:val="space"/>
      <w:lvlText w:val="%1."/>
      <w:lvlJc w:val="left"/>
    </w:lvl>
  </w:abstractNum>
  <w:abstractNum w:abstractNumId="9">
    <w:nsid w:val="52F2DA3C"/>
    <w:multiLevelType w:val="singleLevel"/>
    <w:tmpl w:val="52F2DA3C"/>
    <w:lvl w:ilvl="0" w:tentative="0">
      <w:start w:val="1"/>
      <w:numFmt w:val="decimal"/>
      <w:suff w:val="space"/>
      <w:lvlText w:val="(%1)"/>
      <w:lvlJc w:val="left"/>
    </w:lvl>
  </w:abstractNum>
  <w:abstractNum w:abstractNumId="10">
    <w:nsid w:val="5710B532"/>
    <w:multiLevelType w:val="singleLevel"/>
    <w:tmpl w:val="5710B532"/>
    <w:lvl w:ilvl="0" w:tentative="0">
      <w:start w:val="1"/>
      <w:numFmt w:val="decimal"/>
      <w:lvlText w:val="%1)"/>
      <w:lvlJc w:val="left"/>
      <w:pPr>
        <w:tabs>
          <w:tab w:val="left" w:pos="425"/>
        </w:tabs>
        <w:ind w:left="425" w:hanging="425"/>
      </w:pPr>
      <w:rPr>
        <w:rFonts w:hint="default"/>
      </w:rPr>
    </w:lvl>
  </w:abstractNum>
  <w:abstractNum w:abstractNumId="11">
    <w:nsid w:val="5710B563"/>
    <w:multiLevelType w:val="singleLevel"/>
    <w:tmpl w:val="5710B563"/>
    <w:lvl w:ilvl="0" w:tentative="0">
      <w:start w:val="1"/>
      <w:numFmt w:val="decimal"/>
      <w:lvlText w:val="%1)"/>
      <w:lvlJc w:val="left"/>
      <w:pPr>
        <w:tabs>
          <w:tab w:val="left" w:pos="425"/>
        </w:tabs>
        <w:ind w:left="425" w:hanging="425"/>
      </w:pPr>
      <w:rPr>
        <w:rFonts w:hint="default"/>
      </w:rPr>
    </w:lvl>
  </w:abstractNum>
  <w:abstractNum w:abstractNumId="12">
    <w:nsid w:val="5710B739"/>
    <w:multiLevelType w:val="singleLevel"/>
    <w:tmpl w:val="5710B739"/>
    <w:lvl w:ilvl="0" w:tentative="0">
      <w:start w:val="1"/>
      <w:numFmt w:val="decimal"/>
      <w:lvlText w:val="%1)"/>
      <w:lvlJc w:val="left"/>
      <w:pPr>
        <w:tabs>
          <w:tab w:val="left" w:pos="425"/>
        </w:tabs>
        <w:ind w:left="425" w:hanging="425"/>
      </w:pPr>
      <w:rPr>
        <w:rFonts w:hint="default"/>
      </w:rPr>
    </w:lvl>
  </w:abstractNum>
  <w:abstractNum w:abstractNumId="13">
    <w:nsid w:val="5710B74E"/>
    <w:multiLevelType w:val="singleLevel"/>
    <w:tmpl w:val="5710B74E"/>
    <w:lvl w:ilvl="0" w:tentative="0">
      <w:start w:val="1"/>
      <w:numFmt w:val="decimal"/>
      <w:lvlText w:val="%1)"/>
      <w:lvlJc w:val="left"/>
      <w:pPr>
        <w:tabs>
          <w:tab w:val="left" w:pos="425"/>
        </w:tabs>
        <w:ind w:left="425" w:hanging="425"/>
      </w:pPr>
      <w:rPr>
        <w:rFonts w:hint="default"/>
      </w:rPr>
    </w:lvl>
  </w:abstractNum>
  <w:abstractNum w:abstractNumId="14">
    <w:nsid w:val="5710B769"/>
    <w:multiLevelType w:val="singleLevel"/>
    <w:tmpl w:val="5710B769"/>
    <w:lvl w:ilvl="0" w:tentative="0">
      <w:start w:val="1"/>
      <w:numFmt w:val="decimal"/>
      <w:lvlText w:val="%1)"/>
      <w:lvlJc w:val="left"/>
      <w:pPr>
        <w:tabs>
          <w:tab w:val="left" w:pos="425"/>
        </w:tabs>
        <w:ind w:left="425" w:hanging="425"/>
      </w:pPr>
      <w:rPr>
        <w:rFonts w:hint="default"/>
      </w:rPr>
    </w:lvl>
  </w:abstractNum>
  <w:abstractNum w:abstractNumId="15">
    <w:nsid w:val="5732A5DB"/>
    <w:multiLevelType w:val="singleLevel"/>
    <w:tmpl w:val="5732A5DB"/>
    <w:lvl w:ilvl="0" w:tentative="0">
      <w:start w:val="1"/>
      <w:numFmt w:val="decimal"/>
      <w:lvlText w:val="%1)"/>
      <w:lvlJc w:val="left"/>
      <w:pPr>
        <w:tabs>
          <w:tab w:val="left" w:pos="425"/>
        </w:tabs>
        <w:ind w:left="425" w:hanging="425"/>
      </w:pPr>
      <w:rPr>
        <w:rFonts w:hint="default"/>
      </w:rPr>
    </w:lvl>
  </w:abstractNum>
  <w:abstractNum w:abstractNumId="16">
    <w:nsid w:val="599BF92A"/>
    <w:multiLevelType w:val="singleLevel"/>
    <w:tmpl w:val="599BF92A"/>
    <w:lvl w:ilvl="0" w:tentative="0">
      <w:start w:val="1"/>
      <w:numFmt w:val="decimal"/>
      <w:lvlText w:val="%1)"/>
      <w:lvlJc w:val="left"/>
      <w:pPr>
        <w:tabs>
          <w:tab w:val="left" w:pos="425"/>
        </w:tabs>
        <w:ind w:left="425" w:hanging="425"/>
      </w:pPr>
      <w:rPr>
        <w:rFonts w:hint="default"/>
      </w:rPr>
    </w:lvl>
  </w:abstractNum>
  <w:abstractNum w:abstractNumId="17">
    <w:nsid w:val="63E45CBA"/>
    <w:multiLevelType w:val="singleLevel"/>
    <w:tmpl w:val="63E45CBA"/>
    <w:lvl w:ilvl="0" w:tentative="0">
      <w:start w:val="1"/>
      <w:numFmt w:val="decimal"/>
      <w:suff w:val="space"/>
      <w:lvlText w:val="%1."/>
      <w:lvlJc w:val="left"/>
    </w:lvl>
  </w:abstractNum>
  <w:abstractNum w:abstractNumId="18">
    <w:nsid w:val="66C9219C"/>
    <w:multiLevelType w:val="singleLevel"/>
    <w:tmpl w:val="66C9219C"/>
    <w:lvl w:ilvl="0" w:tentative="0">
      <w:start w:val="1"/>
      <w:numFmt w:val="decimal"/>
      <w:suff w:val="space"/>
      <w:lvlText w:val="(%1)"/>
      <w:lvlJc w:val="left"/>
    </w:lvl>
  </w:abstractNum>
  <w:abstractNum w:abstractNumId="19">
    <w:nsid w:val="6E1532CD"/>
    <w:multiLevelType w:val="singleLevel"/>
    <w:tmpl w:val="6E1532CD"/>
    <w:lvl w:ilvl="0" w:tentative="0">
      <w:start w:val="1"/>
      <w:numFmt w:val="decimal"/>
      <w:suff w:val="space"/>
      <w:lvlText w:val="%1."/>
      <w:lvlJc w:val="left"/>
    </w:lvl>
  </w:abstractNum>
  <w:abstractNum w:abstractNumId="20">
    <w:nsid w:val="7DE19855"/>
    <w:multiLevelType w:val="singleLevel"/>
    <w:tmpl w:val="7DE19855"/>
    <w:lvl w:ilvl="0" w:tentative="0">
      <w:start w:val="1"/>
      <w:numFmt w:val="decimal"/>
      <w:lvlText w:val="%1)"/>
      <w:lvlJc w:val="left"/>
      <w:pPr>
        <w:tabs>
          <w:tab w:val="left" w:pos="425"/>
        </w:tabs>
        <w:ind w:left="425" w:hanging="425"/>
      </w:pPr>
      <w:rPr>
        <w:rFonts w:hint="default"/>
      </w:rPr>
    </w:lvl>
  </w:abstractNum>
  <w:num w:numId="1">
    <w:abstractNumId w:val="12"/>
  </w:num>
  <w:num w:numId="2">
    <w:abstractNumId w:val="13"/>
  </w:num>
  <w:num w:numId="3">
    <w:abstractNumId w:val="15"/>
  </w:num>
  <w:num w:numId="4">
    <w:abstractNumId w:val="10"/>
  </w:num>
  <w:num w:numId="5">
    <w:abstractNumId w:val="11"/>
  </w:num>
  <w:num w:numId="6">
    <w:abstractNumId w:val="14"/>
  </w:num>
  <w:num w:numId="7">
    <w:abstractNumId w:val="16"/>
  </w:num>
  <w:num w:numId="8">
    <w:abstractNumId w:val="20"/>
  </w:num>
  <w:num w:numId="9">
    <w:abstractNumId w:val="1"/>
  </w:num>
  <w:num w:numId="10">
    <w:abstractNumId w:val="4"/>
  </w:num>
  <w:num w:numId="11">
    <w:abstractNumId w:val="9"/>
  </w:num>
  <w:num w:numId="12">
    <w:abstractNumId w:val="7"/>
  </w:num>
  <w:num w:numId="13">
    <w:abstractNumId w:val="19"/>
  </w:num>
  <w:num w:numId="14">
    <w:abstractNumId w:val="18"/>
  </w:num>
  <w:num w:numId="15">
    <w:abstractNumId w:val="8"/>
  </w:num>
  <w:num w:numId="16">
    <w:abstractNumId w:val="0"/>
  </w:num>
  <w:num w:numId="17">
    <w:abstractNumId w:val="2"/>
  </w:num>
  <w:num w:numId="18">
    <w:abstractNumId w:val="3"/>
  </w:num>
  <w:num w:numId="19">
    <w:abstractNumId w:val="17"/>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hYjgyMTM5OWFjM2EwOGIzOTRhYWZmOWMyNDBmZTUifQ=="/>
  </w:docVars>
  <w:rsids>
    <w:rsidRoot w:val="00172A27"/>
    <w:rsid w:val="000054B2"/>
    <w:rsid w:val="00005CC8"/>
    <w:rsid w:val="00051E5C"/>
    <w:rsid w:val="0006253F"/>
    <w:rsid w:val="00093B20"/>
    <w:rsid w:val="000C3AD6"/>
    <w:rsid w:val="000F5027"/>
    <w:rsid w:val="001301FB"/>
    <w:rsid w:val="0015703C"/>
    <w:rsid w:val="00172A27"/>
    <w:rsid w:val="001A5BCD"/>
    <w:rsid w:val="001C15E0"/>
    <w:rsid w:val="0022674B"/>
    <w:rsid w:val="00261872"/>
    <w:rsid w:val="002C083C"/>
    <w:rsid w:val="00317EE7"/>
    <w:rsid w:val="003835CA"/>
    <w:rsid w:val="003A70AD"/>
    <w:rsid w:val="00413025"/>
    <w:rsid w:val="004217D6"/>
    <w:rsid w:val="0043203E"/>
    <w:rsid w:val="004B0C5D"/>
    <w:rsid w:val="004F5019"/>
    <w:rsid w:val="00507F38"/>
    <w:rsid w:val="00550442"/>
    <w:rsid w:val="00594630"/>
    <w:rsid w:val="005A7707"/>
    <w:rsid w:val="005C50BE"/>
    <w:rsid w:val="005C6415"/>
    <w:rsid w:val="00622222"/>
    <w:rsid w:val="0062676F"/>
    <w:rsid w:val="00633F6B"/>
    <w:rsid w:val="00647EFF"/>
    <w:rsid w:val="006729FD"/>
    <w:rsid w:val="00691325"/>
    <w:rsid w:val="007970D8"/>
    <w:rsid w:val="008275DB"/>
    <w:rsid w:val="008758D9"/>
    <w:rsid w:val="008C00B8"/>
    <w:rsid w:val="00917D1A"/>
    <w:rsid w:val="00986109"/>
    <w:rsid w:val="00A16D7E"/>
    <w:rsid w:val="00A312C2"/>
    <w:rsid w:val="00A700BE"/>
    <w:rsid w:val="00AE08FE"/>
    <w:rsid w:val="00B06248"/>
    <w:rsid w:val="00B8095C"/>
    <w:rsid w:val="00B87BDE"/>
    <w:rsid w:val="00BA2331"/>
    <w:rsid w:val="00BE3568"/>
    <w:rsid w:val="00BE498D"/>
    <w:rsid w:val="00C4600C"/>
    <w:rsid w:val="00C60467"/>
    <w:rsid w:val="00CF32EC"/>
    <w:rsid w:val="00D4426D"/>
    <w:rsid w:val="00D44FFB"/>
    <w:rsid w:val="00DE4513"/>
    <w:rsid w:val="00E91A2B"/>
    <w:rsid w:val="00EB2520"/>
    <w:rsid w:val="00F65161"/>
    <w:rsid w:val="00FF1254"/>
    <w:rsid w:val="00FF3D6F"/>
    <w:rsid w:val="01E26C4A"/>
    <w:rsid w:val="03440E7E"/>
    <w:rsid w:val="04213FB4"/>
    <w:rsid w:val="0514287A"/>
    <w:rsid w:val="0694721D"/>
    <w:rsid w:val="073C5A8F"/>
    <w:rsid w:val="078624FC"/>
    <w:rsid w:val="07A35216"/>
    <w:rsid w:val="09502ABA"/>
    <w:rsid w:val="0964054D"/>
    <w:rsid w:val="0C2358BE"/>
    <w:rsid w:val="0E387124"/>
    <w:rsid w:val="0E4B6F3D"/>
    <w:rsid w:val="0ED87186"/>
    <w:rsid w:val="0FB906DB"/>
    <w:rsid w:val="106563E7"/>
    <w:rsid w:val="10B65D95"/>
    <w:rsid w:val="10C41590"/>
    <w:rsid w:val="11B165E8"/>
    <w:rsid w:val="12172911"/>
    <w:rsid w:val="12687656"/>
    <w:rsid w:val="127123A0"/>
    <w:rsid w:val="128361BB"/>
    <w:rsid w:val="142C556F"/>
    <w:rsid w:val="15813918"/>
    <w:rsid w:val="16802DBC"/>
    <w:rsid w:val="16974076"/>
    <w:rsid w:val="17826F43"/>
    <w:rsid w:val="17BC4542"/>
    <w:rsid w:val="19277699"/>
    <w:rsid w:val="19CB36FB"/>
    <w:rsid w:val="1A264A00"/>
    <w:rsid w:val="1AA63C49"/>
    <w:rsid w:val="1B53415C"/>
    <w:rsid w:val="1BD1537C"/>
    <w:rsid w:val="1CF14BA0"/>
    <w:rsid w:val="1EF1268E"/>
    <w:rsid w:val="1FF168CB"/>
    <w:rsid w:val="20411657"/>
    <w:rsid w:val="218B2D27"/>
    <w:rsid w:val="21BF7763"/>
    <w:rsid w:val="21FB3F4F"/>
    <w:rsid w:val="25245B84"/>
    <w:rsid w:val="252C160A"/>
    <w:rsid w:val="25C123E4"/>
    <w:rsid w:val="26800C37"/>
    <w:rsid w:val="26B534DF"/>
    <w:rsid w:val="26FE3B9A"/>
    <w:rsid w:val="27241DB5"/>
    <w:rsid w:val="27EB521E"/>
    <w:rsid w:val="2A206D61"/>
    <w:rsid w:val="2A8F52AF"/>
    <w:rsid w:val="2AD56280"/>
    <w:rsid w:val="2B8F2647"/>
    <w:rsid w:val="2D805440"/>
    <w:rsid w:val="2FD5468C"/>
    <w:rsid w:val="306E5FB4"/>
    <w:rsid w:val="32DB5C9B"/>
    <w:rsid w:val="33015CE6"/>
    <w:rsid w:val="34CA39F4"/>
    <w:rsid w:val="358C2EF0"/>
    <w:rsid w:val="35DA3E68"/>
    <w:rsid w:val="35E87EEF"/>
    <w:rsid w:val="36A36892"/>
    <w:rsid w:val="36AE4BDB"/>
    <w:rsid w:val="36D46A99"/>
    <w:rsid w:val="3A03583E"/>
    <w:rsid w:val="3A2319B1"/>
    <w:rsid w:val="3AC77183"/>
    <w:rsid w:val="3E0310D2"/>
    <w:rsid w:val="3E0456CC"/>
    <w:rsid w:val="3ED97412"/>
    <w:rsid w:val="40755810"/>
    <w:rsid w:val="40B36354"/>
    <w:rsid w:val="4159693A"/>
    <w:rsid w:val="41A00458"/>
    <w:rsid w:val="42335FF4"/>
    <w:rsid w:val="425A0720"/>
    <w:rsid w:val="42774116"/>
    <w:rsid w:val="42B972A6"/>
    <w:rsid w:val="42DE3341"/>
    <w:rsid w:val="438A19F1"/>
    <w:rsid w:val="43C202C3"/>
    <w:rsid w:val="43DD7B00"/>
    <w:rsid w:val="440B79EF"/>
    <w:rsid w:val="44761417"/>
    <w:rsid w:val="45641ABD"/>
    <w:rsid w:val="45F354C0"/>
    <w:rsid w:val="466F0B6B"/>
    <w:rsid w:val="46E644E0"/>
    <w:rsid w:val="47880006"/>
    <w:rsid w:val="47DB76B6"/>
    <w:rsid w:val="4849665A"/>
    <w:rsid w:val="486F204F"/>
    <w:rsid w:val="48AB570C"/>
    <w:rsid w:val="4911320D"/>
    <w:rsid w:val="49720CE6"/>
    <w:rsid w:val="49D42CE3"/>
    <w:rsid w:val="4A5E57F2"/>
    <w:rsid w:val="4AFD2A92"/>
    <w:rsid w:val="4B664993"/>
    <w:rsid w:val="4BA22A4A"/>
    <w:rsid w:val="4BA31F2F"/>
    <w:rsid w:val="4BA45DF3"/>
    <w:rsid w:val="4C61497B"/>
    <w:rsid w:val="4CA3397F"/>
    <w:rsid w:val="4CD06057"/>
    <w:rsid w:val="4E1B0A1A"/>
    <w:rsid w:val="4E726219"/>
    <w:rsid w:val="4EFE36D2"/>
    <w:rsid w:val="504618DA"/>
    <w:rsid w:val="510D0E1D"/>
    <w:rsid w:val="529A7DC0"/>
    <w:rsid w:val="559E46CB"/>
    <w:rsid w:val="574236C7"/>
    <w:rsid w:val="57CC508A"/>
    <w:rsid w:val="5878064C"/>
    <w:rsid w:val="59E54F62"/>
    <w:rsid w:val="5B447652"/>
    <w:rsid w:val="5B7F7AAD"/>
    <w:rsid w:val="5C057BF6"/>
    <w:rsid w:val="5DA361A4"/>
    <w:rsid w:val="5E1C432A"/>
    <w:rsid w:val="6044271B"/>
    <w:rsid w:val="61302529"/>
    <w:rsid w:val="614D25D0"/>
    <w:rsid w:val="62790E96"/>
    <w:rsid w:val="629D0ECF"/>
    <w:rsid w:val="62A768B8"/>
    <w:rsid w:val="631F4E04"/>
    <w:rsid w:val="659F128F"/>
    <w:rsid w:val="661412EA"/>
    <w:rsid w:val="66906EFD"/>
    <w:rsid w:val="669332ED"/>
    <w:rsid w:val="68D9589B"/>
    <w:rsid w:val="68EF5F95"/>
    <w:rsid w:val="6A162576"/>
    <w:rsid w:val="6A48578A"/>
    <w:rsid w:val="6B1969CB"/>
    <w:rsid w:val="6B574BF4"/>
    <w:rsid w:val="6B5D40F8"/>
    <w:rsid w:val="6BD4390F"/>
    <w:rsid w:val="6E485BB4"/>
    <w:rsid w:val="6F3414DD"/>
    <w:rsid w:val="6F674856"/>
    <w:rsid w:val="7032421B"/>
    <w:rsid w:val="70B74BF5"/>
    <w:rsid w:val="726B5CBE"/>
    <w:rsid w:val="72A60393"/>
    <w:rsid w:val="72C44F5A"/>
    <w:rsid w:val="732907E8"/>
    <w:rsid w:val="73C848E1"/>
    <w:rsid w:val="74714651"/>
    <w:rsid w:val="7485368E"/>
    <w:rsid w:val="75023371"/>
    <w:rsid w:val="756E1094"/>
    <w:rsid w:val="776539C9"/>
    <w:rsid w:val="77757998"/>
    <w:rsid w:val="778925D9"/>
    <w:rsid w:val="78F80262"/>
    <w:rsid w:val="79B368D1"/>
    <w:rsid w:val="79F54520"/>
    <w:rsid w:val="7A68654A"/>
    <w:rsid w:val="7AC95567"/>
    <w:rsid w:val="7AEE6036"/>
    <w:rsid w:val="7BD96A3D"/>
    <w:rsid w:val="7C264A87"/>
    <w:rsid w:val="7C606D15"/>
    <w:rsid w:val="7ECF1824"/>
    <w:rsid w:val="7F4C21A5"/>
    <w:rsid w:val="7F870749"/>
    <w:rsid w:val="7F8741B1"/>
    <w:rsid w:val="7F8C2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60" w:lineRule="exact"/>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outlineLvl w:val="0"/>
    </w:pPr>
    <w:rPr>
      <w:rFonts w:hint="eastAsia" w:ascii="宋体" w:hAnsi="宋体" w:eastAsia="宋体" w:cs="Times New Roman"/>
      <w:kern w:val="44"/>
      <w:sz w:val="48"/>
      <w:szCs w:val="48"/>
    </w:rPr>
  </w:style>
  <w:style w:type="paragraph" w:styleId="3">
    <w:name w:val="heading 2"/>
    <w:basedOn w:val="1"/>
    <w:next w:val="4"/>
    <w:qFormat/>
    <w:uiPriority w:val="9"/>
    <w:pPr>
      <w:spacing w:before="100" w:beforeAutospacing="1" w:after="100" w:afterAutospacing="1"/>
      <w:outlineLvl w:val="1"/>
    </w:pPr>
    <w:rPr>
      <w:rFonts w:ascii="宋体" w:hAnsi="宋体" w:eastAsia="宋体" w:cs="宋体"/>
      <w:b/>
      <w:bCs/>
      <w:kern w:val="0"/>
      <w:sz w:val="36"/>
      <w:szCs w:val="36"/>
    </w:rPr>
  </w:style>
  <w:style w:type="paragraph" w:styleId="5">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semiHidden/>
    <w:unhideWhenUsed/>
    <w:qFormat/>
    <w:uiPriority w:val="1"/>
  </w:style>
  <w:style w:type="table" w:default="1" w:styleId="15">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Times New Roman"/>
      <w:kern w:val="2"/>
      <w:sz w:val="21"/>
      <w:szCs w:val="22"/>
    </w:rPr>
    <w:tblPr>
      <w:tblCellMar>
        <w:top w:w="0" w:type="dxa"/>
        <w:left w:w="108" w:type="dxa"/>
        <w:bottom w:w="0" w:type="dxa"/>
        <w:right w:w="108" w:type="dxa"/>
      </w:tblCellMar>
    </w:tblPr>
  </w:style>
  <w:style w:type="paragraph" w:styleId="4">
    <w:name w:val="Normal Indent"/>
    <w:basedOn w:val="1"/>
    <w:autoRedefine/>
    <w:qFormat/>
    <w:uiPriority w:val="0"/>
    <w:pPr>
      <w:ind w:firstLine="420"/>
    </w:pPr>
    <w:rPr>
      <w:rFonts w:ascii="Times New Roman" w:hAnsi="Times New Roman" w:eastAsia="宋体" w:cs="Times New Roman"/>
      <w:szCs w:val="20"/>
    </w:rPr>
  </w:style>
  <w:style w:type="paragraph" w:styleId="7">
    <w:name w:val="annotation text"/>
    <w:basedOn w:val="1"/>
    <w:link w:val="35"/>
    <w:autoRedefine/>
    <w:unhideWhenUsed/>
    <w:qFormat/>
    <w:uiPriority w:val="99"/>
  </w:style>
  <w:style w:type="paragraph" w:styleId="8">
    <w:name w:val="Body Text"/>
    <w:basedOn w:val="1"/>
    <w:next w:val="1"/>
    <w:link w:val="38"/>
    <w:autoRedefine/>
    <w:qFormat/>
    <w:uiPriority w:val="0"/>
    <w:pPr>
      <w:spacing w:after="120"/>
    </w:pPr>
  </w:style>
  <w:style w:type="paragraph" w:styleId="9">
    <w:name w:val="Balloon Text"/>
    <w:basedOn w:val="1"/>
    <w:link w:val="39"/>
    <w:autoRedefine/>
    <w:semiHidden/>
    <w:unhideWhenUsed/>
    <w:qFormat/>
    <w:uiPriority w:val="99"/>
    <w:rPr>
      <w:sz w:val="18"/>
      <w:szCs w:val="18"/>
    </w:rPr>
  </w:style>
  <w:style w:type="paragraph" w:styleId="10">
    <w:name w:val="footer"/>
    <w:basedOn w:val="1"/>
    <w:autoRedefine/>
    <w:qFormat/>
    <w:uiPriority w:val="0"/>
    <w:pPr>
      <w:tabs>
        <w:tab w:val="center" w:pos="4153"/>
        <w:tab w:val="right" w:pos="8306"/>
      </w:tabs>
      <w:autoSpaceDE w:val="0"/>
      <w:autoSpaceDN w:val="0"/>
      <w:adjustRightInd w:val="0"/>
      <w:snapToGrid w:val="0"/>
      <w:textAlignment w:val="baseline"/>
    </w:pPr>
    <w:rPr>
      <w:rFonts w:ascii="宋体"/>
      <w:sz w:val="18"/>
    </w:rPr>
  </w:style>
  <w:style w:type="paragraph" w:styleId="11">
    <w:name w:val="header"/>
    <w:basedOn w:val="1"/>
    <w:autoRedefine/>
    <w:qFormat/>
    <w:uiPriority w:val="99"/>
    <w:pPr>
      <w:pBdr>
        <w:bottom w:val="single" w:color="auto" w:sz="6" w:space="1"/>
      </w:pBdr>
      <w:tabs>
        <w:tab w:val="center" w:pos="4153"/>
        <w:tab w:val="right" w:pos="8306"/>
      </w:tabs>
      <w:autoSpaceDE w:val="0"/>
      <w:autoSpaceDN w:val="0"/>
      <w:adjustRightInd w:val="0"/>
      <w:snapToGrid w:val="0"/>
      <w:jc w:val="right"/>
      <w:textAlignment w:val="baseline"/>
    </w:pPr>
    <w:rPr>
      <w:rFonts w:ascii="Times New Roman" w:hAnsi="Times New Roman" w:eastAsia="仿宋_GB2312" w:cs="Times New Roman"/>
      <w:kern w:val="0"/>
      <w:sz w:val="18"/>
      <w:szCs w:val="20"/>
      <w:lang w:eastAsia="en-US"/>
    </w:rPr>
  </w:style>
  <w:style w:type="paragraph" w:styleId="12">
    <w:name w:val="Body Text 2"/>
    <w:basedOn w:val="1"/>
    <w:autoRedefine/>
    <w:qFormat/>
    <w:uiPriority w:val="0"/>
    <w:pPr>
      <w:spacing w:line="360" w:lineRule="auto"/>
    </w:pPr>
    <w:rPr>
      <w:sz w:val="24"/>
    </w:rPr>
  </w:style>
  <w:style w:type="paragraph" w:styleId="13">
    <w:name w:val="Normal (Web)"/>
    <w:basedOn w:val="1"/>
    <w:autoRedefine/>
    <w:semiHidden/>
    <w:unhideWhenUsed/>
    <w:qFormat/>
    <w:uiPriority w:val="99"/>
    <w:pPr>
      <w:spacing w:beforeAutospacing="1" w:afterAutospacing="1"/>
    </w:pPr>
    <w:rPr>
      <w:rFonts w:cs="Times New Roman"/>
      <w:kern w:val="0"/>
      <w:sz w:val="24"/>
    </w:rPr>
  </w:style>
  <w:style w:type="paragraph" w:styleId="14">
    <w:name w:val="annotation subject"/>
    <w:basedOn w:val="7"/>
    <w:next w:val="7"/>
    <w:link w:val="36"/>
    <w:autoRedefine/>
    <w:semiHidden/>
    <w:unhideWhenUsed/>
    <w:qFormat/>
    <w:uiPriority w:val="99"/>
    <w:rPr>
      <w:b/>
      <w:bCs/>
    </w:rPr>
  </w:style>
  <w:style w:type="table" w:styleId="16">
    <w:name w:val="Table Grid"/>
    <w:basedOn w:val="15"/>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22"/>
    <w:rPr>
      <w:b/>
      <w:bCs/>
    </w:rPr>
  </w:style>
  <w:style w:type="character" w:styleId="19">
    <w:name w:val="FollowedHyperlink"/>
    <w:basedOn w:val="17"/>
    <w:autoRedefine/>
    <w:semiHidden/>
    <w:unhideWhenUsed/>
    <w:qFormat/>
    <w:uiPriority w:val="99"/>
    <w:rPr>
      <w:color w:val="3E3E3E"/>
      <w:u w:val="none"/>
    </w:rPr>
  </w:style>
  <w:style w:type="character" w:styleId="20">
    <w:name w:val="Emphasis"/>
    <w:basedOn w:val="17"/>
    <w:autoRedefine/>
    <w:qFormat/>
    <w:uiPriority w:val="20"/>
  </w:style>
  <w:style w:type="character" w:styleId="21">
    <w:name w:val="HTML Definition"/>
    <w:basedOn w:val="17"/>
    <w:autoRedefine/>
    <w:semiHidden/>
    <w:unhideWhenUsed/>
    <w:qFormat/>
    <w:uiPriority w:val="99"/>
  </w:style>
  <w:style w:type="character" w:styleId="22">
    <w:name w:val="HTML Typewriter"/>
    <w:basedOn w:val="17"/>
    <w:autoRedefine/>
    <w:semiHidden/>
    <w:unhideWhenUsed/>
    <w:qFormat/>
    <w:uiPriority w:val="99"/>
    <w:rPr>
      <w:rFonts w:hint="default" w:ascii="monospace" w:hAnsi="monospace" w:eastAsia="monospace" w:cs="monospace"/>
      <w:sz w:val="20"/>
    </w:rPr>
  </w:style>
  <w:style w:type="character" w:styleId="23">
    <w:name w:val="HTML Acronym"/>
    <w:basedOn w:val="17"/>
    <w:autoRedefine/>
    <w:semiHidden/>
    <w:unhideWhenUsed/>
    <w:qFormat/>
    <w:uiPriority w:val="99"/>
  </w:style>
  <w:style w:type="character" w:styleId="24">
    <w:name w:val="HTML Variable"/>
    <w:basedOn w:val="17"/>
    <w:autoRedefine/>
    <w:semiHidden/>
    <w:unhideWhenUsed/>
    <w:qFormat/>
    <w:uiPriority w:val="99"/>
  </w:style>
  <w:style w:type="character" w:styleId="25">
    <w:name w:val="Hyperlink"/>
    <w:basedOn w:val="17"/>
    <w:autoRedefine/>
    <w:semiHidden/>
    <w:unhideWhenUsed/>
    <w:qFormat/>
    <w:uiPriority w:val="99"/>
    <w:rPr>
      <w:color w:val="3E3E3E"/>
      <w:u w:val="none"/>
    </w:rPr>
  </w:style>
  <w:style w:type="character" w:styleId="26">
    <w:name w:val="HTML Code"/>
    <w:basedOn w:val="17"/>
    <w:autoRedefine/>
    <w:semiHidden/>
    <w:unhideWhenUsed/>
    <w:qFormat/>
    <w:uiPriority w:val="99"/>
    <w:rPr>
      <w:rFonts w:hint="default" w:ascii="monospace" w:hAnsi="monospace" w:eastAsia="monospace" w:cs="monospace"/>
      <w:sz w:val="20"/>
    </w:rPr>
  </w:style>
  <w:style w:type="character" w:styleId="27">
    <w:name w:val="annotation reference"/>
    <w:basedOn w:val="17"/>
    <w:autoRedefine/>
    <w:semiHidden/>
    <w:unhideWhenUsed/>
    <w:qFormat/>
    <w:uiPriority w:val="99"/>
    <w:rPr>
      <w:sz w:val="21"/>
      <w:szCs w:val="21"/>
    </w:rPr>
  </w:style>
  <w:style w:type="character" w:styleId="28">
    <w:name w:val="HTML Cite"/>
    <w:basedOn w:val="17"/>
    <w:autoRedefine/>
    <w:semiHidden/>
    <w:unhideWhenUsed/>
    <w:qFormat/>
    <w:uiPriority w:val="99"/>
  </w:style>
  <w:style w:type="character" w:styleId="29">
    <w:name w:val="HTML Keyboard"/>
    <w:basedOn w:val="17"/>
    <w:autoRedefine/>
    <w:semiHidden/>
    <w:unhideWhenUsed/>
    <w:qFormat/>
    <w:uiPriority w:val="99"/>
    <w:rPr>
      <w:rFonts w:ascii="monospace" w:hAnsi="monospace" w:eastAsia="monospace" w:cs="monospace"/>
      <w:vanish/>
      <w:sz w:val="20"/>
    </w:rPr>
  </w:style>
  <w:style w:type="character" w:styleId="30">
    <w:name w:val="HTML Sample"/>
    <w:basedOn w:val="17"/>
    <w:autoRedefine/>
    <w:semiHidden/>
    <w:unhideWhenUsed/>
    <w:qFormat/>
    <w:uiPriority w:val="99"/>
    <w:rPr>
      <w:rFonts w:hint="default" w:ascii="monospace" w:hAnsi="monospace" w:eastAsia="monospace" w:cs="monospace"/>
    </w:rPr>
  </w:style>
  <w:style w:type="paragraph" w:customStyle="1" w:styleId="31">
    <w:name w:val="Default"/>
    <w:autoRedefine/>
    <w:unhideWhenUsed/>
    <w:qFormat/>
    <w:uiPriority w:val="99"/>
    <w:pPr>
      <w:widowControl w:val="0"/>
      <w:autoSpaceDE w:val="0"/>
      <w:autoSpaceDN w:val="0"/>
      <w:adjustRightInd w:val="0"/>
    </w:pPr>
    <w:rPr>
      <w:rFonts w:ascii="宋体" w:hAnsi="宋体" w:eastAsia="宋体" w:cs="Times New Roman"/>
      <w:color w:val="000000"/>
      <w:sz w:val="24"/>
      <w:szCs w:val="24"/>
      <w:lang w:val="en-US" w:eastAsia="zh-CN" w:bidi="ar-SA"/>
    </w:rPr>
  </w:style>
  <w:style w:type="paragraph" w:customStyle="1" w:styleId="32">
    <w:name w:val="章标题"/>
    <w:basedOn w:val="1"/>
    <w:link w:val="34"/>
    <w:autoRedefine/>
    <w:qFormat/>
    <w:uiPriority w:val="0"/>
    <w:pPr>
      <w:jc w:val="center"/>
    </w:pPr>
    <w:rPr>
      <w:rFonts w:ascii="宋体" w:hAnsi="宋体" w:eastAsia="宋体" w:cs="Arial"/>
      <w:b/>
      <w:sz w:val="36"/>
      <w:szCs w:val="36"/>
    </w:rPr>
  </w:style>
  <w:style w:type="paragraph" w:styleId="33">
    <w:name w:val="List Paragraph"/>
    <w:basedOn w:val="1"/>
    <w:autoRedefine/>
    <w:qFormat/>
    <w:uiPriority w:val="34"/>
    <w:pPr>
      <w:ind w:firstLine="420" w:firstLineChars="200"/>
    </w:pPr>
  </w:style>
  <w:style w:type="character" w:customStyle="1" w:styleId="34">
    <w:name w:val="章标题 字符"/>
    <w:basedOn w:val="17"/>
    <w:link w:val="32"/>
    <w:autoRedefine/>
    <w:qFormat/>
    <w:uiPriority w:val="0"/>
    <w:rPr>
      <w:rFonts w:ascii="宋体" w:hAnsi="宋体" w:eastAsia="宋体" w:cs="Arial"/>
      <w:b/>
      <w:sz w:val="36"/>
      <w:szCs w:val="36"/>
    </w:rPr>
  </w:style>
  <w:style w:type="character" w:customStyle="1" w:styleId="35">
    <w:name w:val="批注文字 字符"/>
    <w:basedOn w:val="17"/>
    <w:link w:val="7"/>
    <w:autoRedefine/>
    <w:qFormat/>
    <w:uiPriority w:val="99"/>
  </w:style>
  <w:style w:type="character" w:customStyle="1" w:styleId="36">
    <w:name w:val="批注主题 字符"/>
    <w:basedOn w:val="35"/>
    <w:link w:val="14"/>
    <w:autoRedefine/>
    <w:semiHidden/>
    <w:qFormat/>
    <w:uiPriority w:val="99"/>
    <w:rPr>
      <w:b/>
      <w:bCs/>
    </w:rPr>
  </w:style>
  <w:style w:type="paragraph" w:customStyle="1" w:styleId="37">
    <w:name w:val="USE 1"/>
    <w:basedOn w:val="1"/>
    <w:qFormat/>
    <w:uiPriority w:val="0"/>
    <w:pPr>
      <w:spacing w:afterLines="20" w:line="200" w:lineRule="atLeast"/>
    </w:pPr>
    <w:rPr>
      <w:rFonts w:hint="eastAsia" w:ascii="宋体" w:hAnsi="宋体" w:eastAsia="宋体" w:cs="Times New Roman"/>
      <w:b/>
      <w:sz w:val="24"/>
      <w:szCs w:val="28"/>
    </w:rPr>
  </w:style>
  <w:style w:type="character" w:customStyle="1" w:styleId="38">
    <w:name w:val="正文文本 字符"/>
    <w:basedOn w:val="17"/>
    <w:link w:val="8"/>
    <w:autoRedefine/>
    <w:qFormat/>
    <w:uiPriority w:val="0"/>
    <w:rPr>
      <w:kern w:val="2"/>
      <w:sz w:val="21"/>
    </w:rPr>
  </w:style>
  <w:style w:type="character" w:customStyle="1" w:styleId="39">
    <w:name w:val="批注框文本 字符"/>
    <w:basedOn w:val="17"/>
    <w:link w:val="9"/>
    <w:autoRedefine/>
    <w:semiHidden/>
    <w:qFormat/>
    <w:uiPriority w:val="99"/>
    <w:rPr>
      <w:rFonts w:asciiTheme="minorHAnsi" w:hAnsiTheme="minorHAnsi" w:eastAsiaTheme="minorEastAsia" w:cstheme="minorBidi"/>
      <w:kern w:val="2"/>
      <w:sz w:val="18"/>
      <w:szCs w:val="18"/>
    </w:rPr>
  </w:style>
  <w:style w:type="character" w:customStyle="1" w:styleId="40">
    <w:name w:val="time"/>
    <w:basedOn w:val="17"/>
    <w:autoRedefine/>
    <w:qFormat/>
    <w:uiPriority w:val="0"/>
    <w:rPr>
      <w:color w:val="989898"/>
      <w:sz w:val="16"/>
      <w:szCs w:val="16"/>
    </w:rPr>
  </w:style>
  <w:style w:type="character" w:customStyle="1" w:styleId="41">
    <w:name w:val="c-green"/>
    <w:basedOn w:val="17"/>
    <w:autoRedefine/>
    <w:qFormat/>
    <w:uiPriority w:val="0"/>
    <w:rPr>
      <w:color w:val="009944"/>
    </w:rPr>
  </w:style>
  <w:style w:type="character" w:customStyle="1" w:styleId="42">
    <w:name w:val="country"/>
    <w:basedOn w:val="17"/>
    <w:autoRedefine/>
    <w:qFormat/>
    <w:uiPriority w:val="0"/>
    <w:rPr>
      <w:color w:val="989898"/>
      <w:sz w:val="16"/>
      <w:szCs w:val="16"/>
    </w:rPr>
  </w:style>
  <w:style w:type="character" w:customStyle="1" w:styleId="43">
    <w:name w:val="cur6"/>
    <w:basedOn w:val="17"/>
    <w:autoRedefine/>
    <w:qFormat/>
    <w:uiPriority w:val="0"/>
    <w:rPr>
      <w:b/>
      <w:bCs/>
      <w:color w:val="FFFFFF"/>
      <w:shd w:val="clear" w:color="auto" w:fill="E5493A"/>
    </w:rPr>
  </w:style>
  <w:style w:type="character" w:customStyle="1" w:styleId="44">
    <w:name w:val="cur7"/>
    <w:basedOn w:val="17"/>
    <w:autoRedefine/>
    <w:qFormat/>
    <w:uiPriority w:val="0"/>
    <w:rPr>
      <w:shd w:val="clear" w:color="auto" w:fill="BD0101"/>
    </w:rPr>
  </w:style>
  <w:style w:type="character" w:customStyle="1" w:styleId="45">
    <w:name w:val="cur8"/>
    <w:basedOn w:val="17"/>
    <w:autoRedefine/>
    <w:qFormat/>
    <w:uiPriority w:val="0"/>
    <w:rPr>
      <w:color w:val="F20C17"/>
    </w:rPr>
  </w:style>
  <w:style w:type="character" w:customStyle="1" w:styleId="46">
    <w:name w:val="time01"/>
    <w:basedOn w:val="17"/>
    <w:qFormat/>
    <w:uiPriority w:val="0"/>
    <w:rPr>
      <w:rFonts w:ascii="宋体" w:hAnsi="宋体" w:eastAsia="宋体" w:cs="宋体"/>
      <w:color w:val="B0B0B0"/>
      <w:sz w:val="14"/>
      <w:szCs w:val="14"/>
    </w:rPr>
  </w:style>
  <w:style w:type="character" w:customStyle="1" w:styleId="47">
    <w:name w:val="red2"/>
    <w:basedOn w:val="17"/>
    <w:autoRedefine/>
    <w:qFormat/>
    <w:uiPriority w:val="0"/>
    <w:rPr>
      <w:color w:val="DD0000"/>
    </w:rPr>
  </w:style>
  <w:style w:type="character" w:customStyle="1" w:styleId="48">
    <w:name w:val="font11"/>
    <w:basedOn w:val="17"/>
    <w:autoRedefine/>
    <w:qFormat/>
    <w:uiPriority w:val="0"/>
    <w:rPr>
      <w:rFonts w:hint="eastAsia" w:ascii="宋体" w:hAnsi="宋体" w:eastAsia="宋体" w:cs="宋体"/>
      <w:color w:val="000000"/>
      <w:sz w:val="21"/>
      <w:szCs w:val="21"/>
      <w:u w:val="none"/>
    </w:rPr>
  </w:style>
  <w:style w:type="paragraph" w:customStyle="1" w:styleId="49">
    <w:name w:val="ATXT_Standard"/>
    <w:autoRedefine/>
    <w:qFormat/>
    <w:uiPriority w:val="99"/>
    <w:pPr>
      <w:widowControl w:val="0"/>
      <w:autoSpaceDE w:val="0"/>
      <w:autoSpaceDN w:val="0"/>
      <w:adjustRightInd w:val="0"/>
      <w:ind w:left="1134"/>
      <w:jc w:val="both"/>
    </w:pPr>
    <w:rPr>
      <w:rFonts w:ascii="Arial" w:hAnsi="Arial" w:eastAsia="宋体" w:cs="Arial"/>
      <w:lang w:val="en-US" w:eastAsia="zh-CN" w:bidi="ar-SA"/>
    </w:rPr>
  </w:style>
  <w:style w:type="character" w:customStyle="1" w:styleId="50">
    <w:name w:val="hover"/>
    <w:basedOn w:val="17"/>
    <w:autoRedefine/>
    <w:qFormat/>
    <w:uiPriority w:val="0"/>
    <w:rPr>
      <w:color w:val="2590EB"/>
    </w:rPr>
  </w:style>
  <w:style w:type="character" w:customStyle="1" w:styleId="51">
    <w:name w:val="hover1"/>
    <w:basedOn w:val="17"/>
    <w:autoRedefine/>
    <w:qFormat/>
    <w:uiPriority w:val="0"/>
    <w:rPr>
      <w:color w:val="2590EB"/>
    </w:rPr>
  </w:style>
  <w:style w:type="character" w:customStyle="1" w:styleId="52">
    <w:name w:val="hover2"/>
    <w:basedOn w:val="17"/>
    <w:autoRedefine/>
    <w:qFormat/>
    <w:uiPriority w:val="0"/>
  </w:style>
  <w:style w:type="character" w:customStyle="1" w:styleId="53">
    <w:name w:val="hover3"/>
    <w:basedOn w:val="17"/>
    <w:autoRedefine/>
    <w:qFormat/>
    <w:uiPriority w:val="0"/>
    <w:rPr>
      <w:color w:val="2590EB"/>
      <w:shd w:val="clear" w:color="auto" w:fill="E9F4FD"/>
    </w:rPr>
  </w:style>
  <w:style w:type="character" w:customStyle="1" w:styleId="54">
    <w:name w:val="long_text"/>
    <w:autoRedefine/>
    <w:qFormat/>
    <w:uiPriority w:val="0"/>
  </w:style>
  <w:style w:type="character" w:customStyle="1" w:styleId="55">
    <w:name w:val="fontstyle01"/>
    <w:basedOn w:val="17"/>
    <w:qFormat/>
    <w:uiPriority w:val="0"/>
    <w:rPr>
      <w:rFonts w:ascii="HelveticaNeue-Light" w:hAnsi="HelveticaNeue-Light" w:eastAsia="HelveticaNeue-Light" w:cs="HelveticaNeue-Light"/>
      <w:color w:val="242021"/>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80</Pages>
  <Words>6501</Words>
  <Characters>36153</Characters>
  <Lines>1478</Lines>
  <Paragraphs>610</Paragraphs>
  <TotalTime>1</TotalTime>
  <ScaleCrop>false</ScaleCrop>
  <LinksUpToDate>false</LinksUpToDate>
  <CharactersWithSpaces>42287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2024-12-09T02:10:00Z</dcterms:created>
  <dc:creator>王秀子</dc:creator>
  <cp:lastModifiedBy>Li Yiwei</cp:lastModifiedBy>
  <dcterms:modified xsi:type="dcterms:W3CDTF">2026-06-12T09:51:05Z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B968538E6A6144E98B886FCFE9238960_13</vt:lpwstr>
  </property>
  <property fmtid="{D5CDD505-2E9C-101B-9397-08002B2CF9AE}" pid="4" name="KSOTemplateDocerSaveRecord">
    <vt:lpwstr>eyJoZGlkIjoiMmRiNGQ2MmE1NzY3ZThkNWFmODU1ZGJmN2ZlNzU0YzYiLCJ1c2VySWQiOiI2MDQyOTc5MTIifQ==</vt:lpwstr>
  </property>
</Properties>
</file>